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BA9C" w14:textId="5D816DAD" w:rsidR="001028D0" w:rsidRPr="00706CB0" w:rsidRDefault="001028D0" w:rsidP="004246DC">
      <w:pPr>
        <w:spacing w:after="120" w:line="240" w:lineRule="auto"/>
        <w:rPr>
          <w:b/>
          <w:sz w:val="32"/>
          <w:lang w:val="en-GB"/>
        </w:rPr>
      </w:pPr>
      <w:r w:rsidRPr="00706CB0">
        <w:rPr>
          <w:noProof/>
          <w:sz w:val="36"/>
          <w:szCs w:val="36"/>
          <w:lang w:val="en-GB" w:eastAsia="en-GB"/>
        </w:rPr>
        <w:drawing>
          <wp:anchor distT="0" distB="0" distL="114300" distR="114300" simplePos="0" relativeHeight="251659264" behindDoc="0" locked="0" layoutInCell="1" allowOverlap="1" wp14:anchorId="49597FAE" wp14:editId="4A1B7DE3">
            <wp:simplePos x="0" y="0"/>
            <wp:positionH relativeFrom="margin">
              <wp:posOffset>4429125</wp:posOffset>
            </wp:positionH>
            <wp:positionV relativeFrom="topMargin">
              <wp:posOffset>613410</wp:posOffset>
            </wp:positionV>
            <wp:extent cx="1548130" cy="647700"/>
            <wp:effectExtent l="0" t="0" r="0" b="0"/>
            <wp:wrapNone/>
            <wp:docPr id="16" name="LogoHid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130" cy="647700"/>
                    </a:xfrm>
                    <a:prstGeom prst="rect">
                      <a:avLst/>
                    </a:prstGeom>
                  </pic:spPr>
                </pic:pic>
              </a:graphicData>
            </a:graphic>
            <wp14:sizeRelH relativeFrom="margin">
              <wp14:pctWidth>0</wp14:pctWidth>
            </wp14:sizeRelH>
            <wp14:sizeRelV relativeFrom="margin">
              <wp14:pctHeight>0</wp14:pctHeight>
            </wp14:sizeRelV>
          </wp:anchor>
        </w:drawing>
      </w:r>
    </w:p>
    <w:p w14:paraId="45572AE7" w14:textId="0DE29D21" w:rsidR="001028D0" w:rsidRPr="00706CB0" w:rsidRDefault="001028D0" w:rsidP="004246DC">
      <w:pPr>
        <w:spacing w:after="120" w:line="240" w:lineRule="auto"/>
        <w:rPr>
          <w:b/>
          <w:sz w:val="32"/>
          <w:lang w:val="en-GB"/>
        </w:rPr>
      </w:pPr>
    </w:p>
    <w:p w14:paraId="1CF7682F" w14:textId="443BCDE9" w:rsidR="003E4DCD" w:rsidRPr="00706CB0" w:rsidRDefault="003E4DCD" w:rsidP="004246DC">
      <w:pPr>
        <w:spacing w:after="120" w:line="240" w:lineRule="auto"/>
        <w:rPr>
          <w:b/>
          <w:sz w:val="32"/>
          <w:lang w:val="en-GB"/>
        </w:rPr>
      </w:pPr>
      <w:r w:rsidRPr="00706CB0">
        <w:rPr>
          <w:b/>
          <w:sz w:val="32"/>
          <w:lang w:val="en-GB"/>
        </w:rPr>
        <w:t xml:space="preserve">Terms of Reference </w:t>
      </w:r>
    </w:p>
    <w:p w14:paraId="5A648DE4" w14:textId="77777777" w:rsidR="003E4DCD" w:rsidRPr="00706CB0" w:rsidRDefault="003E4DCD" w:rsidP="004246DC">
      <w:pPr>
        <w:spacing w:after="120" w:line="240" w:lineRule="auto"/>
        <w:rPr>
          <w:lang w:val="en-GB"/>
        </w:rPr>
      </w:pPr>
      <w:r w:rsidRPr="00706CB0">
        <w:rPr>
          <w:lang w:val="en-GB"/>
        </w:rPr>
        <w:t xml:space="preserve">for </w:t>
      </w:r>
      <w:r w:rsidRPr="00706CB0">
        <w:rPr>
          <w:i/>
          <w:lang w:val="en-GB"/>
        </w:rPr>
        <w:t>Evaluation of CKU</w:t>
      </w:r>
      <w:r w:rsidR="00F32FCF" w:rsidRPr="00706CB0">
        <w:rPr>
          <w:i/>
          <w:lang w:val="en-GB"/>
        </w:rPr>
        <w:t>’</w:t>
      </w:r>
      <w:r w:rsidRPr="00706CB0">
        <w:rPr>
          <w:i/>
          <w:lang w:val="en-GB"/>
        </w:rPr>
        <w:t>s international engagement to support culture and development in Danida priority countries from 2007 to 2016.</w:t>
      </w:r>
    </w:p>
    <w:p w14:paraId="5EA45438" w14:textId="77777777" w:rsidR="003E4DCD" w:rsidRPr="00706CB0" w:rsidRDefault="003E4DCD" w:rsidP="004246DC">
      <w:pPr>
        <w:spacing w:after="120" w:line="240" w:lineRule="auto"/>
        <w:rPr>
          <w:b/>
          <w:lang w:val="en-GB"/>
        </w:rPr>
      </w:pPr>
    </w:p>
    <w:p w14:paraId="613FD3DD" w14:textId="77777777" w:rsidR="009C4F1B" w:rsidRPr="00706CB0" w:rsidRDefault="009C4F1B" w:rsidP="004246DC">
      <w:pPr>
        <w:spacing w:after="120" w:line="240" w:lineRule="auto"/>
        <w:rPr>
          <w:b/>
          <w:lang w:val="en-GB"/>
        </w:rPr>
      </w:pPr>
      <w:r w:rsidRPr="00706CB0">
        <w:rPr>
          <w:b/>
          <w:lang w:val="en-GB"/>
        </w:rPr>
        <w:t>1. Background:</w:t>
      </w:r>
    </w:p>
    <w:p w14:paraId="68AFB839" w14:textId="72A44FFC" w:rsidR="0024020F" w:rsidRPr="00706CB0" w:rsidRDefault="00F32FCF" w:rsidP="004246DC">
      <w:pPr>
        <w:spacing w:after="120" w:line="240" w:lineRule="auto"/>
        <w:rPr>
          <w:lang w:val="en-GB"/>
        </w:rPr>
      </w:pPr>
      <w:r w:rsidRPr="00706CB0">
        <w:rPr>
          <w:lang w:val="en-GB"/>
        </w:rPr>
        <w:t>T</w:t>
      </w:r>
      <w:r w:rsidR="0024020F" w:rsidRPr="00706CB0">
        <w:rPr>
          <w:lang w:val="en-GB"/>
        </w:rPr>
        <w:t xml:space="preserve">he Danish government </w:t>
      </w:r>
      <w:r w:rsidRPr="00706CB0">
        <w:rPr>
          <w:lang w:val="en-GB"/>
        </w:rPr>
        <w:t xml:space="preserve">has decided to </w:t>
      </w:r>
      <w:r w:rsidR="0024020F" w:rsidRPr="00706CB0">
        <w:rPr>
          <w:lang w:val="en-GB"/>
        </w:rPr>
        <w:t>stop funding the Danish Cent</w:t>
      </w:r>
      <w:r w:rsidRPr="00706CB0">
        <w:rPr>
          <w:lang w:val="en-GB"/>
        </w:rPr>
        <w:t>re</w:t>
      </w:r>
      <w:r w:rsidR="0024020F" w:rsidRPr="00706CB0">
        <w:rPr>
          <w:lang w:val="en-GB"/>
        </w:rPr>
        <w:t xml:space="preserve"> for Culture and Development (CKU) </w:t>
      </w:r>
      <w:r w:rsidRPr="00706CB0">
        <w:rPr>
          <w:lang w:val="en-GB"/>
        </w:rPr>
        <w:t>after</w:t>
      </w:r>
      <w:r w:rsidR="0024020F" w:rsidRPr="00706CB0">
        <w:rPr>
          <w:lang w:val="en-GB"/>
        </w:rPr>
        <w:t xml:space="preserve"> 2016</w:t>
      </w:r>
      <w:r w:rsidRPr="00706CB0">
        <w:rPr>
          <w:lang w:val="en-GB"/>
        </w:rPr>
        <w:t>, and the Minister for Foreign Affairs has decided to close down the centre by the end of 2016.</w:t>
      </w:r>
      <w:r w:rsidR="0024020F" w:rsidRPr="00706CB0">
        <w:rPr>
          <w:lang w:val="en-GB"/>
        </w:rPr>
        <w:t xml:space="preserve"> This leads to the completi</w:t>
      </w:r>
      <w:r w:rsidRPr="00706CB0">
        <w:rPr>
          <w:lang w:val="en-GB"/>
        </w:rPr>
        <w:t>on</w:t>
      </w:r>
      <w:r w:rsidR="0024020F" w:rsidRPr="00706CB0">
        <w:rPr>
          <w:lang w:val="en-GB"/>
        </w:rPr>
        <w:t xml:space="preserve"> of CKU</w:t>
      </w:r>
      <w:r w:rsidRPr="00706CB0">
        <w:rPr>
          <w:lang w:val="en-GB"/>
        </w:rPr>
        <w:t>’</w:t>
      </w:r>
      <w:r w:rsidR="0024020F" w:rsidRPr="00706CB0">
        <w:rPr>
          <w:lang w:val="en-GB"/>
        </w:rPr>
        <w:t xml:space="preserve">s </w:t>
      </w:r>
      <w:r w:rsidRPr="00706CB0">
        <w:rPr>
          <w:lang w:val="en-GB"/>
        </w:rPr>
        <w:t xml:space="preserve">ongoing </w:t>
      </w:r>
      <w:r w:rsidR="0024020F" w:rsidRPr="00706CB0">
        <w:rPr>
          <w:lang w:val="en-GB"/>
        </w:rPr>
        <w:t xml:space="preserve">programmes and the closure of the organisation. In this context, the need for a final, external evaluation arises, in order to document the results achieved and the lessons learned. </w:t>
      </w:r>
    </w:p>
    <w:p w14:paraId="383B54F9" w14:textId="3D68D106" w:rsidR="000C5CA6" w:rsidRPr="00706CB0" w:rsidRDefault="004327FD" w:rsidP="004246DC">
      <w:pPr>
        <w:spacing w:after="120" w:line="240" w:lineRule="auto"/>
        <w:rPr>
          <w:lang w:val="en-GB"/>
        </w:rPr>
      </w:pPr>
      <w:r w:rsidRPr="00706CB0">
        <w:rPr>
          <w:lang w:val="en-GB"/>
        </w:rPr>
        <w:t>In December 2015, Danida’s External Grant Committee approved the final grant to CKU. At the same time, the Committee observed that CKU during its 18 years of existence has managed to produce results and launch new initiatives in a very difficult field and underlined the need to have these results documented (</w:t>
      </w:r>
      <w:r w:rsidR="007015A2" w:rsidRPr="00706CB0">
        <w:rPr>
          <w:lang w:val="en-GB"/>
        </w:rPr>
        <w:t xml:space="preserve">MFA: Minutes from the External Grant Committee Meeting 2 December 2015). At its meeting in December 2015, the Board of CKU also decided that CKU’s work needs to be documented and evaluated. </w:t>
      </w:r>
      <w:r w:rsidR="0024020F" w:rsidRPr="00706CB0">
        <w:rPr>
          <w:lang w:val="en-GB"/>
        </w:rPr>
        <w:t>The evaluation is expected to be useful for international and national practitioners in the field of culture and development</w:t>
      </w:r>
      <w:r w:rsidR="007015A2" w:rsidRPr="00706CB0">
        <w:rPr>
          <w:lang w:val="en-GB"/>
        </w:rPr>
        <w:t xml:space="preserve"> and serve as inspiration for agencies and organisations wishing to integrate the area of culture in development cooperation.</w:t>
      </w:r>
    </w:p>
    <w:p w14:paraId="5737AE5F" w14:textId="77777777" w:rsidR="004246DC" w:rsidRPr="00706CB0" w:rsidRDefault="004246DC" w:rsidP="007742AA">
      <w:pPr>
        <w:spacing w:after="0" w:line="240" w:lineRule="auto"/>
        <w:rPr>
          <w:sz w:val="12"/>
          <w:lang w:val="en-GB"/>
        </w:rPr>
      </w:pPr>
    </w:p>
    <w:p w14:paraId="6134EC6F" w14:textId="7927AF43" w:rsidR="003F3D5D" w:rsidRPr="00706CB0" w:rsidRDefault="003E4DCD" w:rsidP="004246DC">
      <w:pPr>
        <w:spacing w:after="120" w:line="240" w:lineRule="auto"/>
        <w:rPr>
          <w:lang w:val="en-GB" w:eastAsia="ja-JP"/>
        </w:rPr>
      </w:pPr>
      <w:r w:rsidRPr="00706CB0">
        <w:rPr>
          <w:lang w:val="en-GB" w:eastAsia="ja-JP"/>
        </w:rPr>
        <w:t xml:space="preserve">The Danish Centre for Culture and Development (CKU) was established by the Danish Ministry of Foreign Affairs in 1998 as a self-governing institution under the Ministry. CKU works to strengthen the role of art and culture as an integral part of Danish development cooperation. </w:t>
      </w:r>
    </w:p>
    <w:p w14:paraId="465F534A" w14:textId="77777777" w:rsidR="003F3D5D" w:rsidRPr="00706CB0" w:rsidRDefault="003F3D5D" w:rsidP="004246DC">
      <w:pPr>
        <w:spacing w:after="120" w:line="240" w:lineRule="auto"/>
        <w:rPr>
          <w:lang w:val="en-GB"/>
        </w:rPr>
      </w:pPr>
      <w:r w:rsidRPr="00706CB0">
        <w:rPr>
          <w:lang w:val="en-GB"/>
        </w:rPr>
        <w:t>In line with the Danish strategic framework outlined in “The Right to Art and Culture” CKU regards art and creativity as crucial parameters for sustainable, human and societal development and as key factors for democracy, human rights and growth. CKU therefore works for strengthening a vibrant, free and inclusive cultural life in developing countries as well as for enhancing the knowledge in the Danish population. All programmes and projects developed by CKU since the approval of “The Right to Art and Culture” by the Foreign Committee of the Parliament in May 2013 adhere to the human rights and cultural diversity principles as well as the following five thematic priority areas:</w:t>
      </w:r>
    </w:p>
    <w:p w14:paraId="520B061D" w14:textId="77777777" w:rsidR="003E4DCD" w:rsidRPr="00706CB0" w:rsidRDefault="003E4DCD" w:rsidP="004246DC">
      <w:pPr>
        <w:pStyle w:val="Listeafsnit"/>
        <w:numPr>
          <w:ilvl w:val="0"/>
          <w:numId w:val="14"/>
        </w:numPr>
        <w:spacing w:after="120" w:line="240" w:lineRule="auto"/>
        <w:ind w:left="851" w:hanging="491"/>
        <w:rPr>
          <w:lang w:val="en-GB" w:eastAsia="ja-JP"/>
        </w:rPr>
      </w:pPr>
      <w:r w:rsidRPr="00706CB0">
        <w:rPr>
          <w:lang w:val="en-GB" w:eastAsia="ja-JP"/>
        </w:rPr>
        <w:t>Empowering people through active participation in art and cultural activities</w:t>
      </w:r>
    </w:p>
    <w:p w14:paraId="0BF66446" w14:textId="77777777" w:rsidR="003E4DCD" w:rsidRPr="00706CB0" w:rsidRDefault="003E4DCD" w:rsidP="004246DC">
      <w:pPr>
        <w:pStyle w:val="Listeafsnit"/>
        <w:numPr>
          <w:ilvl w:val="0"/>
          <w:numId w:val="14"/>
        </w:numPr>
        <w:spacing w:after="120" w:line="240" w:lineRule="auto"/>
        <w:ind w:left="851" w:hanging="491"/>
        <w:rPr>
          <w:lang w:val="en-GB" w:eastAsia="ja-JP"/>
        </w:rPr>
      </w:pPr>
      <w:r w:rsidRPr="00706CB0">
        <w:rPr>
          <w:lang w:val="en-GB" w:eastAsia="ja-JP"/>
        </w:rPr>
        <w:t>Ensuring freedom of expression for artists and cultural actors</w:t>
      </w:r>
    </w:p>
    <w:p w14:paraId="06718DD3" w14:textId="77777777" w:rsidR="003E4DCD" w:rsidRPr="00706CB0" w:rsidRDefault="003E4DCD" w:rsidP="004246DC">
      <w:pPr>
        <w:pStyle w:val="Listeafsnit"/>
        <w:numPr>
          <w:ilvl w:val="0"/>
          <w:numId w:val="14"/>
        </w:numPr>
        <w:spacing w:after="120" w:line="240" w:lineRule="auto"/>
        <w:ind w:left="851" w:hanging="491"/>
        <w:rPr>
          <w:lang w:val="en-GB" w:eastAsia="ja-JP"/>
        </w:rPr>
      </w:pPr>
      <w:r w:rsidRPr="00706CB0">
        <w:rPr>
          <w:lang w:val="en-GB" w:eastAsia="ja-JP"/>
        </w:rPr>
        <w:t>Enhancing economic growth through creative industries</w:t>
      </w:r>
    </w:p>
    <w:p w14:paraId="4D5A9A90" w14:textId="77777777" w:rsidR="003E4DCD" w:rsidRPr="00706CB0" w:rsidRDefault="003E4DCD" w:rsidP="004246DC">
      <w:pPr>
        <w:pStyle w:val="Listeafsnit"/>
        <w:numPr>
          <w:ilvl w:val="0"/>
          <w:numId w:val="14"/>
        </w:numPr>
        <w:spacing w:after="120" w:line="240" w:lineRule="auto"/>
        <w:ind w:left="851" w:hanging="491"/>
        <w:rPr>
          <w:lang w:val="en-GB" w:eastAsia="ja-JP"/>
        </w:rPr>
      </w:pPr>
      <w:r w:rsidRPr="00706CB0">
        <w:rPr>
          <w:lang w:val="en-GB" w:eastAsia="ja-JP"/>
        </w:rPr>
        <w:t>Strengthening peace and reconciliation in post-conflict areas through art and cultural activities</w:t>
      </w:r>
    </w:p>
    <w:p w14:paraId="27E86805" w14:textId="77777777" w:rsidR="003E4DCD" w:rsidRPr="00706CB0" w:rsidRDefault="003E4DCD" w:rsidP="004246DC">
      <w:pPr>
        <w:pStyle w:val="Listeafsnit"/>
        <w:numPr>
          <w:ilvl w:val="0"/>
          <w:numId w:val="14"/>
        </w:numPr>
        <w:spacing w:after="120" w:line="240" w:lineRule="auto"/>
        <w:ind w:left="851" w:hanging="491"/>
        <w:rPr>
          <w:lang w:val="en-GB" w:eastAsia="ja-JP"/>
        </w:rPr>
      </w:pPr>
      <w:r w:rsidRPr="00706CB0">
        <w:rPr>
          <w:lang w:val="en-GB" w:eastAsia="ja-JP"/>
        </w:rPr>
        <w:t>Promoting intercultural dialogue and intercultural collaboration</w:t>
      </w:r>
    </w:p>
    <w:p w14:paraId="19EB5C43" w14:textId="77777777" w:rsidR="00014BF8" w:rsidRPr="00706CB0" w:rsidRDefault="00014BF8" w:rsidP="004246DC">
      <w:pPr>
        <w:spacing w:after="120" w:line="240" w:lineRule="auto"/>
        <w:rPr>
          <w:rFonts w:eastAsia="Calibri" w:cs="Times New Roman"/>
          <w:lang w:val="en-GB"/>
        </w:rPr>
      </w:pPr>
      <w:r w:rsidRPr="00706CB0">
        <w:rPr>
          <w:rFonts w:eastAsia="Calibri" w:cs="Times New Roman"/>
          <w:lang w:val="en-GB"/>
        </w:rPr>
        <w:t xml:space="preserve">In line with this strategic framework, the overall </w:t>
      </w:r>
      <w:r w:rsidRPr="00706CB0">
        <w:rPr>
          <w:rFonts w:eastAsia="Calibri" w:cs="Times New Roman"/>
          <w:b/>
          <w:lang w:val="en-GB"/>
        </w:rPr>
        <w:t>theory of change</w:t>
      </w:r>
      <w:r w:rsidRPr="00706CB0">
        <w:rPr>
          <w:rFonts w:eastAsia="Calibri" w:cs="Times New Roman"/>
          <w:lang w:val="en-GB"/>
        </w:rPr>
        <w:t xml:space="preserve"> for CKU’s programmatic work is based on previous experiences and newly developed methods on how art and culture can help create positive change, while at the same time a rich artistic and cultural life has value in itself (‘The Right to Art and Culture’ p. 3). </w:t>
      </w:r>
    </w:p>
    <w:p w14:paraId="753F4503" w14:textId="77777777" w:rsidR="003E4DCD" w:rsidRPr="00706CB0" w:rsidRDefault="003E4DCD" w:rsidP="004246DC">
      <w:pPr>
        <w:spacing w:after="120" w:line="240" w:lineRule="auto"/>
        <w:rPr>
          <w:lang w:val="en-GB" w:eastAsia="ja-JP"/>
        </w:rPr>
      </w:pPr>
      <w:r w:rsidRPr="00706CB0">
        <w:rPr>
          <w:lang w:val="en-GB" w:eastAsia="ja-JP"/>
        </w:rPr>
        <w:t xml:space="preserve">CKU seeks to ensure strong synergies with Danish development efforts in the Danida partner countries through a close alignment with Danida country policy papers and specific components in Danida country programmes. By aligning CKU’s international culture and development programmes to other Danida </w:t>
      </w:r>
      <w:r w:rsidRPr="00706CB0">
        <w:rPr>
          <w:lang w:val="en-GB" w:eastAsia="ja-JP"/>
        </w:rPr>
        <w:lastRenderedPageBreak/>
        <w:t>priorities in the specific countries, CKU hereby aims to contribute to the overall strategic priorities set by Danida in the programme countries, while also taking account of national policies and strategies such as poverty and growth strategies and national cultural policies.</w:t>
      </w:r>
    </w:p>
    <w:p w14:paraId="174779A8" w14:textId="77777777" w:rsidR="00165624" w:rsidRPr="00706CB0" w:rsidRDefault="00165624" w:rsidP="004246DC">
      <w:pPr>
        <w:spacing w:after="120" w:line="240" w:lineRule="auto"/>
        <w:rPr>
          <w:b/>
          <w:lang w:val="en-GB"/>
        </w:rPr>
      </w:pPr>
    </w:p>
    <w:p w14:paraId="2C12D55C" w14:textId="156411E1" w:rsidR="00165624" w:rsidRPr="00706CB0" w:rsidRDefault="00BD7B9B" w:rsidP="004246DC">
      <w:pPr>
        <w:spacing w:after="120" w:line="240" w:lineRule="auto"/>
        <w:rPr>
          <w:b/>
          <w:lang w:val="en-GB"/>
        </w:rPr>
      </w:pPr>
      <w:r w:rsidRPr="00706CB0">
        <w:rPr>
          <w:b/>
          <w:lang w:val="en-GB"/>
        </w:rPr>
        <w:t>2</w:t>
      </w:r>
      <w:r w:rsidR="009C4F1B" w:rsidRPr="00706CB0">
        <w:rPr>
          <w:b/>
          <w:lang w:val="en-GB"/>
        </w:rPr>
        <w:t xml:space="preserve">. </w:t>
      </w:r>
      <w:r w:rsidR="00F33469" w:rsidRPr="00706CB0">
        <w:rPr>
          <w:b/>
          <w:lang w:val="en-GB"/>
        </w:rPr>
        <w:t xml:space="preserve">Purpose and </w:t>
      </w:r>
      <w:r w:rsidRPr="00706CB0">
        <w:rPr>
          <w:b/>
          <w:lang w:val="en-GB"/>
        </w:rPr>
        <w:t>Scope</w:t>
      </w:r>
      <w:r w:rsidR="00F33469" w:rsidRPr="00706CB0">
        <w:rPr>
          <w:b/>
          <w:lang w:val="en-GB"/>
        </w:rPr>
        <w:t xml:space="preserve"> of the </w:t>
      </w:r>
      <w:r w:rsidRPr="00706CB0">
        <w:rPr>
          <w:b/>
          <w:lang w:val="en-GB"/>
        </w:rPr>
        <w:t>E</w:t>
      </w:r>
      <w:r w:rsidR="00F33469" w:rsidRPr="00706CB0">
        <w:rPr>
          <w:b/>
          <w:lang w:val="en-GB"/>
        </w:rPr>
        <w:t>valuation:</w:t>
      </w:r>
    </w:p>
    <w:p w14:paraId="698FEE28" w14:textId="72AFA45A" w:rsidR="00165624" w:rsidRPr="00706CB0" w:rsidRDefault="00165624" w:rsidP="004246DC">
      <w:pPr>
        <w:spacing w:after="120" w:line="240" w:lineRule="auto"/>
        <w:rPr>
          <w:lang w:val="en-GB"/>
        </w:rPr>
      </w:pPr>
      <w:r w:rsidRPr="00706CB0">
        <w:rPr>
          <w:lang w:val="en-GB"/>
        </w:rPr>
        <w:t xml:space="preserve">The evaluation </w:t>
      </w:r>
      <w:r w:rsidR="00BD7B9B" w:rsidRPr="00706CB0">
        <w:rPr>
          <w:lang w:val="en-GB"/>
        </w:rPr>
        <w:t>will address the following two overall</w:t>
      </w:r>
      <w:r w:rsidRPr="00706CB0">
        <w:rPr>
          <w:lang w:val="en-GB"/>
        </w:rPr>
        <w:t xml:space="preserve"> questions</w:t>
      </w:r>
      <w:r w:rsidR="0063254F" w:rsidRPr="00706CB0">
        <w:rPr>
          <w:lang w:val="en-GB"/>
        </w:rPr>
        <w:t>:</w:t>
      </w:r>
    </w:p>
    <w:p w14:paraId="51B05629" w14:textId="79931ADA" w:rsidR="00165624" w:rsidRPr="00706CB0" w:rsidRDefault="003E7715" w:rsidP="00BD7B9B">
      <w:pPr>
        <w:pStyle w:val="Listeafsnit"/>
        <w:numPr>
          <w:ilvl w:val="0"/>
          <w:numId w:val="32"/>
        </w:numPr>
        <w:spacing w:after="120" w:line="240" w:lineRule="auto"/>
        <w:rPr>
          <w:lang w:val="en-GB"/>
        </w:rPr>
      </w:pPr>
      <w:r w:rsidRPr="00706CB0">
        <w:rPr>
          <w:lang w:val="en-GB"/>
        </w:rPr>
        <w:t xml:space="preserve">How have CKU’s international programmes contributed to the evidence of the catalytic role of culture in development processes, </w:t>
      </w:r>
      <w:r w:rsidR="00BD7B9B" w:rsidRPr="00706CB0">
        <w:rPr>
          <w:lang w:val="en-GB"/>
        </w:rPr>
        <w:t xml:space="preserve">and </w:t>
      </w:r>
      <w:r w:rsidR="0063254F" w:rsidRPr="00706CB0">
        <w:rPr>
          <w:lang w:val="en-GB"/>
        </w:rPr>
        <w:t>w</w:t>
      </w:r>
      <w:r w:rsidR="00165624" w:rsidRPr="00706CB0">
        <w:rPr>
          <w:lang w:val="en-GB"/>
        </w:rPr>
        <w:t>hat a</w:t>
      </w:r>
      <w:r w:rsidR="0063254F" w:rsidRPr="00706CB0">
        <w:rPr>
          <w:lang w:val="en-GB"/>
        </w:rPr>
        <w:t xml:space="preserve">re the results </w:t>
      </w:r>
      <w:r w:rsidR="00BD7B9B" w:rsidRPr="00706CB0">
        <w:rPr>
          <w:lang w:val="en-GB"/>
        </w:rPr>
        <w:t>and impact of this</w:t>
      </w:r>
      <w:r w:rsidR="00AE1C56" w:rsidRPr="00706CB0">
        <w:rPr>
          <w:lang w:val="en-GB"/>
        </w:rPr>
        <w:t>?</w:t>
      </w:r>
    </w:p>
    <w:p w14:paraId="74E656BB" w14:textId="77777777" w:rsidR="00AE1C56" w:rsidRPr="00706CB0" w:rsidRDefault="00165624" w:rsidP="00BD7B9B">
      <w:pPr>
        <w:pStyle w:val="Listeafsnit"/>
        <w:numPr>
          <w:ilvl w:val="0"/>
          <w:numId w:val="32"/>
        </w:numPr>
        <w:spacing w:after="120" w:line="240" w:lineRule="auto"/>
        <w:rPr>
          <w:lang w:val="en-GB"/>
        </w:rPr>
      </w:pPr>
      <w:r w:rsidRPr="00706CB0">
        <w:rPr>
          <w:lang w:val="en-GB"/>
        </w:rPr>
        <w:t xml:space="preserve">Which </w:t>
      </w:r>
      <w:r w:rsidR="00C7488D" w:rsidRPr="00706CB0">
        <w:rPr>
          <w:lang w:val="en-GB"/>
        </w:rPr>
        <w:t>tools, methods and approaches</w:t>
      </w:r>
      <w:r w:rsidRPr="00706CB0">
        <w:rPr>
          <w:lang w:val="en-GB"/>
        </w:rPr>
        <w:t xml:space="preserve"> </w:t>
      </w:r>
      <w:r w:rsidR="00AE1C56" w:rsidRPr="00706CB0">
        <w:rPr>
          <w:lang w:val="en-GB"/>
        </w:rPr>
        <w:t xml:space="preserve">have </w:t>
      </w:r>
      <w:r w:rsidRPr="00706CB0">
        <w:rPr>
          <w:lang w:val="en-GB"/>
        </w:rPr>
        <w:t>work</w:t>
      </w:r>
      <w:r w:rsidR="00AE1C56" w:rsidRPr="00706CB0">
        <w:rPr>
          <w:lang w:val="en-GB"/>
        </w:rPr>
        <w:t>ed</w:t>
      </w:r>
      <w:r w:rsidR="00C7488D" w:rsidRPr="00706CB0">
        <w:rPr>
          <w:lang w:val="en-GB"/>
        </w:rPr>
        <w:t xml:space="preserve"> for achieving</w:t>
      </w:r>
      <w:r w:rsidRPr="00706CB0">
        <w:rPr>
          <w:lang w:val="en-GB"/>
        </w:rPr>
        <w:t xml:space="preserve"> these results</w:t>
      </w:r>
      <w:r w:rsidR="00C7488D" w:rsidRPr="00706CB0">
        <w:rPr>
          <w:lang w:val="en-GB"/>
        </w:rPr>
        <w:t xml:space="preserve"> and how can they be described to capture lessons learned? </w:t>
      </w:r>
    </w:p>
    <w:p w14:paraId="40A16B57" w14:textId="40DCCA10" w:rsidR="00BD7B9B" w:rsidRPr="00706CB0" w:rsidRDefault="00BD7B9B" w:rsidP="00F84109">
      <w:pPr>
        <w:spacing w:after="120" w:line="240" w:lineRule="auto"/>
        <w:rPr>
          <w:lang w:val="en-GB"/>
        </w:rPr>
      </w:pPr>
      <w:r w:rsidRPr="00706CB0">
        <w:rPr>
          <w:lang w:val="en-GB"/>
        </w:rPr>
        <w:t xml:space="preserve">The purpose of the first objective is to provide an overview over the results and possible impact that CKU supported initiatives had on the ground. In particular, it is of interest to record </w:t>
      </w:r>
      <w:r w:rsidR="00E17848" w:rsidRPr="00706CB0">
        <w:rPr>
          <w:lang w:val="en-GB"/>
        </w:rPr>
        <w:t>results</w:t>
      </w:r>
      <w:r w:rsidRPr="00706CB0">
        <w:rPr>
          <w:lang w:val="en-GB"/>
        </w:rPr>
        <w:t xml:space="preserve"> of a transformational nature. It is recognized that CKU’s activities are carried out in cooperation with partner organisations in the respective programme countries</w:t>
      </w:r>
      <w:r w:rsidR="00E17848" w:rsidRPr="00706CB0">
        <w:rPr>
          <w:lang w:val="en-GB"/>
        </w:rPr>
        <w:t>. T</w:t>
      </w:r>
      <w:r w:rsidRPr="00706CB0">
        <w:rPr>
          <w:lang w:val="en-GB"/>
        </w:rPr>
        <w:t>herefore</w:t>
      </w:r>
      <w:r w:rsidR="00E17848" w:rsidRPr="00706CB0">
        <w:rPr>
          <w:lang w:val="en-GB"/>
        </w:rPr>
        <w:t>,</w:t>
      </w:r>
      <w:r w:rsidRPr="00706CB0">
        <w:rPr>
          <w:lang w:val="en-GB"/>
        </w:rPr>
        <w:t xml:space="preserve"> </w:t>
      </w:r>
      <w:r w:rsidR="00E17848" w:rsidRPr="00706CB0">
        <w:rPr>
          <w:lang w:val="en-GB"/>
        </w:rPr>
        <w:t xml:space="preserve">it </w:t>
      </w:r>
      <w:r w:rsidRPr="00706CB0">
        <w:rPr>
          <w:lang w:val="en-GB"/>
        </w:rPr>
        <w:t>may be difficult to attribute changes and impact directly to the interventions supported by CKU</w:t>
      </w:r>
      <w:r w:rsidR="00E17848" w:rsidRPr="00706CB0">
        <w:rPr>
          <w:lang w:val="en-GB"/>
        </w:rPr>
        <w:t xml:space="preserve">; hence, the emphasis may be on the contribution provided by CKU and the value added from the supported activities. </w:t>
      </w:r>
    </w:p>
    <w:p w14:paraId="379A5D98" w14:textId="008A476D" w:rsidR="00BD7B9B" w:rsidRPr="00706CB0" w:rsidRDefault="00BD7B9B" w:rsidP="00F84109">
      <w:pPr>
        <w:spacing w:after="120" w:line="240" w:lineRule="auto"/>
        <w:rPr>
          <w:lang w:val="en-GB"/>
        </w:rPr>
      </w:pPr>
      <w:r w:rsidRPr="00706CB0">
        <w:rPr>
          <w:lang w:val="en-GB"/>
        </w:rPr>
        <w:t xml:space="preserve">The purpose of the second objective is </w:t>
      </w:r>
      <w:r w:rsidR="00E17848" w:rsidRPr="00706CB0">
        <w:rPr>
          <w:lang w:val="en-GB"/>
        </w:rPr>
        <w:t xml:space="preserve">to provide lessons learned, with a view of documenting best practices for inspiration to national and international development practitioners in the field of culture and development. Focus shall be on evidence of approaches and methods that have proven effective and demonstrate unique added value. </w:t>
      </w:r>
    </w:p>
    <w:p w14:paraId="418A535F" w14:textId="77777777" w:rsidR="00BD7B9B" w:rsidRPr="00706CB0" w:rsidRDefault="00BD7B9B" w:rsidP="007742AA">
      <w:pPr>
        <w:spacing w:after="0" w:line="240" w:lineRule="auto"/>
        <w:rPr>
          <w:lang w:val="en-GB"/>
        </w:rPr>
      </w:pPr>
    </w:p>
    <w:p w14:paraId="656E7411" w14:textId="77777777" w:rsidR="00531929" w:rsidRPr="00706CB0" w:rsidRDefault="00014BF8" w:rsidP="00F84109">
      <w:pPr>
        <w:spacing w:after="120" w:line="240" w:lineRule="auto"/>
        <w:rPr>
          <w:lang w:val="en-GB"/>
        </w:rPr>
      </w:pPr>
      <w:r w:rsidRPr="00706CB0">
        <w:rPr>
          <w:lang w:val="en-GB"/>
        </w:rPr>
        <w:t xml:space="preserve">Among the five priority areas of the strategy, three have been chosen as focus areas for this evaluation. These are </w:t>
      </w:r>
    </w:p>
    <w:p w14:paraId="5BFB5917" w14:textId="46172E3C" w:rsidR="00531929" w:rsidRPr="00706CB0" w:rsidRDefault="00DA44F7" w:rsidP="00531929">
      <w:pPr>
        <w:pStyle w:val="Listeafsnit"/>
        <w:numPr>
          <w:ilvl w:val="0"/>
          <w:numId w:val="35"/>
        </w:numPr>
        <w:spacing w:after="120" w:line="240" w:lineRule="auto"/>
        <w:rPr>
          <w:lang w:val="en-GB"/>
        </w:rPr>
      </w:pPr>
      <w:r w:rsidRPr="00706CB0">
        <w:rPr>
          <w:lang w:val="en-GB"/>
        </w:rPr>
        <w:t>empowering people through active participation in art and cultural activities</w:t>
      </w:r>
      <w:r w:rsidR="00014BF8" w:rsidRPr="00706CB0">
        <w:rPr>
          <w:lang w:val="en-GB"/>
        </w:rPr>
        <w:t xml:space="preserve">, </w:t>
      </w:r>
    </w:p>
    <w:p w14:paraId="7C05ADE8" w14:textId="3024621A" w:rsidR="00531929" w:rsidRPr="00706CB0" w:rsidRDefault="00DA44F7" w:rsidP="00531929">
      <w:pPr>
        <w:pStyle w:val="Listeafsnit"/>
        <w:numPr>
          <w:ilvl w:val="0"/>
          <w:numId w:val="35"/>
        </w:numPr>
        <w:spacing w:after="120" w:line="240" w:lineRule="auto"/>
        <w:rPr>
          <w:lang w:val="en-GB"/>
        </w:rPr>
      </w:pPr>
      <w:r w:rsidRPr="00706CB0">
        <w:rPr>
          <w:lang w:val="en-GB"/>
        </w:rPr>
        <w:t>cultural and creative Industries,</w:t>
      </w:r>
      <w:r w:rsidR="00014BF8" w:rsidRPr="00706CB0">
        <w:rPr>
          <w:lang w:val="en-GB"/>
        </w:rPr>
        <w:t xml:space="preserve"> and </w:t>
      </w:r>
    </w:p>
    <w:p w14:paraId="6586A00A" w14:textId="64B24F19" w:rsidR="00531929" w:rsidRPr="00706CB0" w:rsidRDefault="00DA44F7" w:rsidP="004246DC">
      <w:pPr>
        <w:pStyle w:val="Listeafsnit"/>
        <w:numPr>
          <w:ilvl w:val="0"/>
          <w:numId w:val="35"/>
        </w:numPr>
        <w:spacing w:after="120" w:line="240" w:lineRule="auto"/>
        <w:rPr>
          <w:lang w:val="en-GB"/>
        </w:rPr>
      </w:pPr>
      <w:r w:rsidRPr="00706CB0">
        <w:rPr>
          <w:lang w:val="en-GB"/>
        </w:rPr>
        <w:t xml:space="preserve">strengthening peace and reconciliation through </w:t>
      </w:r>
      <w:r w:rsidR="00014BF8" w:rsidRPr="00706CB0">
        <w:rPr>
          <w:lang w:val="en-GB"/>
        </w:rPr>
        <w:t xml:space="preserve">arts and cultural activities. </w:t>
      </w:r>
    </w:p>
    <w:p w14:paraId="63B838B2" w14:textId="77777777" w:rsidR="00531929" w:rsidRPr="00706CB0" w:rsidRDefault="00531929" w:rsidP="00531929">
      <w:pPr>
        <w:spacing w:after="120" w:line="240" w:lineRule="auto"/>
        <w:rPr>
          <w:lang w:val="en-GB"/>
        </w:rPr>
      </w:pPr>
      <w:r w:rsidRPr="00706CB0">
        <w:rPr>
          <w:lang w:val="en-GB"/>
        </w:rPr>
        <w:t>The assumptions to each priority areas that the evaluation needs to look into are formulated in CKUs theory of change and summarised as follows:</w:t>
      </w:r>
    </w:p>
    <w:p w14:paraId="2D63DD75" w14:textId="77777777" w:rsidR="00531929" w:rsidRPr="00706CB0" w:rsidRDefault="00531929" w:rsidP="00531929">
      <w:pPr>
        <w:spacing w:after="120" w:line="240" w:lineRule="auto"/>
        <w:rPr>
          <w:i/>
          <w:lang w:val="en-GB"/>
        </w:rPr>
      </w:pPr>
      <w:r w:rsidRPr="00706CB0">
        <w:rPr>
          <w:i/>
          <w:lang w:val="en-GB"/>
        </w:rPr>
        <w:t>1. Active participation in cultural activities can mobilise marginalised population groups to express themselves and take part in development initiatives in their areas.</w:t>
      </w:r>
    </w:p>
    <w:p w14:paraId="6B338E58" w14:textId="77777777" w:rsidR="00531929" w:rsidRPr="00706CB0" w:rsidRDefault="00531929" w:rsidP="00531929">
      <w:pPr>
        <w:spacing w:after="120" w:line="240" w:lineRule="auto"/>
        <w:rPr>
          <w:lang w:val="en-GB"/>
        </w:rPr>
      </w:pPr>
      <w:r w:rsidRPr="00706CB0">
        <w:rPr>
          <w:i/>
          <w:lang w:val="en-GB"/>
        </w:rPr>
        <w:t xml:space="preserve">Theory of change: </w:t>
      </w:r>
      <w:r w:rsidRPr="00706CB0">
        <w:rPr>
          <w:lang w:val="en-GB"/>
        </w:rPr>
        <w:t>Support to art and cultural activities at local level with a focus on involving marginalised groups will strengthen their voice and creative expressions and in turn motivate them to take part in broader development initiatives in their local areas. Participation in art and culture is hence not an end goal in itself but a catalyst for engagement and motivation for broader participation. If processes of skills development and presentation techniques are guided by didactic and artistically skilled trainers in a safe environment, motivated participants are empowered to become active contributors to their community.</w:t>
      </w:r>
    </w:p>
    <w:p w14:paraId="33E8B2B1" w14:textId="77777777" w:rsidR="00531929" w:rsidRPr="00706CB0" w:rsidRDefault="00531929" w:rsidP="00531929">
      <w:pPr>
        <w:spacing w:after="120" w:line="240" w:lineRule="auto"/>
        <w:rPr>
          <w:i/>
          <w:lang w:val="en-GB"/>
        </w:rPr>
      </w:pPr>
      <w:r w:rsidRPr="00706CB0">
        <w:rPr>
          <w:i/>
          <w:lang w:val="en-GB"/>
        </w:rPr>
        <w:t>2. A boost to cultural and creative industries generates employment and income and strengthens national and international market opportunities</w:t>
      </w:r>
    </w:p>
    <w:p w14:paraId="011BF95C" w14:textId="77777777" w:rsidR="00531929" w:rsidRPr="00706CB0" w:rsidRDefault="00531929" w:rsidP="00531929">
      <w:pPr>
        <w:spacing w:after="120" w:line="240" w:lineRule="auto"/>
        <w:rPr>
          <w:lang w:val="en-GB"/>
        </w:rPr>
      </w:pPr>
      <w:r w:rsidRPr="00706CB0">
        <w:rPr>
          <w:i/>
          <w:lang w:val="en-GB"/>
        </w:rPr>
        <w:t xml:space="preserve">Theory of change: </w:t>
      </w:r>
      <w:r w:rsidRPr="00706CB0">
        <w:rPr>
          <w:lang w:val="en-GB"/>
        </w:rPr>
        <w:t xml:space="preserve">Addressing obstacles and limiting factors in the business environment for cultural and creative industries will release the significant potential present in this sector. Known and proven strategies for establishing a conducive environment for business development can be applied to the cultural and creative industry sector in order to make it grow and flourish. Capacity development for cultural entrepreneurs in business development and marketing strategies can lead to local job creation and sustainability of the cultural and creative industries, based on the creative talent already present in most </w:t>
      </w:r>
      <w:r w:rsidRPr="00706CB0">
        <w:rPr>
          <w:lang w:val="en-GB"/>
        </w:rPr>
        <w:lastRenderedPageBreak/>
        <w:t>societies. Through increased income and market relations a boost to this sector will contribute to economic development of low- and middle-income countries.</w:t>
      </w:r>
    </w:p>
    <w:p w14:paraId="2939F5B8" w14:textId="77777777" w:rsidR="00531929" w:rsidRPr="00706CB0" w:rsidRDefault="00531929" w:rsidP="00531929">
      <w:pPr>
        <w:spacing w:after="120" w:line="240" w:lineRule="auto"/>
        <w:rPr>
          <w:i/>
          <w:lang w:val="en-GB"/>
        </w:rPr>
      </w:pPr>
      <w:r w:rsidRPr="00706CB0">
        <w:rPr>
          <w:i/>
          <w:lang w:val="en-GB"/>
        </w:rPr>
        <w:t xml:space="preserve">3. Art and cultural activities can strengthen peace and reconciliation in post-conflict areas </w:t>
      </w:r>
    </w:p>
    <w:p w14:paraId="2F946FA2" w14:textId="77777777" w:rsidR="00531929" w:rsidRPr="00706CB0" w:rsidRDefault="00531929" w:rsidP="00531929">
      <w:pPr>
        <w:spacing w:after="120" w:line="240" w:lineRule="auto"/>
        <w:rPr>
          <w:lang w:val="en-GB"/>
        </w:rPr>
      </w:pPr>
      <w:r w:rsidRPr="00706CB0">
        <w:rPr>
          <w:i/>
          <w:lang w:val="en-GB"/>
        </w:rPr>
        <w:t xml:space="preserve">Theory of change: </w:t>
      </w:r>
      <w:r w:rsidRPr="00706CB0">
        <w:rPr>
          <w:lang w:val="en-GB"/>
        </w:rPr>
        <w:t>Improved access of conflict affected and displaced populations to cultural activities can be a way forward for re-establishing a normal life, and support to art and cultural initiatives can lead to increased trust and mutual understanding.</w:t>
      </w:r>
    </w:p>
    <w:p w14:paraId="304D250A" w14:textId="49469DC9" w:rsidR="00531929" w:rsidRPr="00706CB0" w:rsidRDefault="00531929" w:rsidP="007742AA">
      <w:pPr>
        <w:spacing w:after="0" w:line="240" w:lineRule="auto"/>
        <w:rPr>
          <w:color w:val="7030A0"/>
          <w:lang w:val="en-GB"/>
        </w:rPr>
      </w:pPr>
    </w:p>
    <w:p w14:paraId="4A2C4CBA" w14:textId="77777777" w:rsidR="00531929" w:rsidRPr="00706CB0" w:rsidRDefault="00531929" w:rsidP="00531929">
      <w:pPr>
        <w:spacing w:after="120" w:line="240" w:lineRule="auto"/>
        <w:rPr>
          <w:lang w:val="en-GB"/>
        </w:rPr>
      </w:pPr>
      <w:r w:rsidRPr="00706CB0">
        <w:rPr>
          <w:lang w:val="en-GB"/>
        </w:rPr>
        <w:t xml:space="preserve">The evaluation will include, but not necessarily be limited to the following elements: </w:t>
      </w:r>
    </w:p>
    <w:p w14:paraId="208869B8" w14:textId="77777777" w:rsidR="00531929" w:rsidRPr="00706CB0" w:rsidRDefault="00531929" w:rsidP="00531929">
      <w:pPr>
        <w:pStyle w:val="Listeafsnit"/>
        <w:numPr>
          <w:ilvl w:val="0"/>
          <w:numId w:val="5"/>
        </w:numPr>
        <w:spacing w:after="120" w:line="240" w:lineRule="auto"/>
        <w:ind w:left="714" w:hanging="357"/>
        <w:rPr>
          <w:lang w:val="en-GB"/>
        </w:rPr>
      </w:pPr>
      <w:r w:rsidRPr="00706CB0">
        <w:rPr>
          <w:lang w:val="en-GB"/>
        </w:rPr>
        <w:t xml:space="preserve">Map the portfolio of international programmes and approaches applied by CKU in Danida partner countries between 2007 and 2016, and document results. </w:t>
      </w:r>
    </w:p>
    <w:p w14:paraId="2C4C6BC5" w14:textId="77777777" w:rsidR="00531929" w:rsidRPr="00706CB0" w:rsidRDefault="00531929" w:rsidP="00531929">
      <w:pPr>
        <w:pStyle w:val="Listeafsnit"/>
        <w:numPr>
          <w:ilvl w:val="0"/>
          <w:numId w:val="5"/>
        </w:numPr>
        <w:spacing w:after="120" w:line="240" w:lineRule="auto"/>
        <w:ind w:left="714" w:hanging="357"/>
        <w:rPr>
          <w:lang w:val="en-GB"/>
        </w:rPr>
      </w:pPr>
      <w:r w:rsidRPr="00706CB0">
        <w:rPr>
          <w:lang w:val="en-GB"/>
        </w:rPr>
        <w:t xml:space="preserve">Document successful approaches, methods, and best practices in the three strategic areas of intervention mentioned above. </w:t>
      </w:r>
    </w:p>
    <w:p w14:paraId="0ACF39B0" w14:textId="77777777" w:rsidR="00531929" w:rsidRPr="00706CB0" w:rsidRDefault="00531929" w:rsidP="00531929">
      <w:pPr>
        <w:pStyle w:val="Listeafsnit"/>
        <w:numPr>
          <w:ilvl w:val="0"/>
          <w:numId w:val="5"/>
        </w:numPr>
        <w:spacing w:after="120" w:line="240" w:lineRule="auto"/>
        <w:ind w:left="714" w:hanging="357"/>
        <w:rPr>
          <w:lang w:val="en-GB"/>
        </w:rPr>
      </w:pPr>
      <w:r w:rsidRPr="00706CB0">
        <w:rPr>
          <w:lang w:val="en-GB"/>
        </w:rPr>
        <w:t>Identify factors that either facilitated or hindered the achievement of results and document lessons learned during implementation, both at the level of country programmes and specific project level.</w:t>
      </w:r>
    </w:p>
    <w:p w14:paraId="4AE4D59A" w14:textId="77777777" w:rsidR="00531929" w:rsidRPr="00706CB0" w:rsidRDefault="00531929" w:rsidP="00531929">
      <w:pPr>
        <w:pStyle w:val="Listeafsnit"/>
        <w:numPr>
          <w:ilvl w:val="0"/>
          <w:numId w:val="5"/>
        </w:numPr>
        <w:spacing w:after="120" w:line="240" w:lineRule="auto"/>
        <w:ind w:left="714" w:hanging="357"/>
        <w:rPr>
          <w:lang w:val="en-GB"/>
        </w:rPr>
      </w:pPr>
      <w:r w:rsidRPr="00706CB0">
        <w:rPr>
          <w:lang w:val="en-GB"/>
        </w:rPr>
        <w:t>Focus the in depth analysis on three sample countries.</w:t>
      </w:r>
    </w:p>
    <w:p w14:paraId="47E3456B" w14:textId="77777777" w:rsidR="00531929" w:rsidRPr="00706CB0" w:rsidRDefault="00531929" w:rsidP="00531929">
      <w:pPr>
        <w:pStyle w:val="Listeafsnit"/>
        <w:numPr>
          <w:ilvl w:val="0"/>
          <w:numId w:val="5"/>
        </w:numPr>
        <w:spacing w:after="120" w:line="240" w:lineRule="auto"/>
        <w:ind w:left="714" w:hanging="357"/>
        <w:rPr>
          <w:lang w:val="en-GB"/>
        </w:rPr>
      </w:pPr>
      <w:r w:rsidRPr="00706CB0">
        <w:rPr>
          <w:lang w:val="en-GB"/>
        </w:rPr>
        <w:t xml:space="preserve">Assess the process that led to the Danish strategy </w:t>
      </w:r>
      <w:r w:rsidRPr="00706CB0">
        <w:rPr>
          <w:i/>
          <w:lang w:val="en-GB"/>
        </w:rPr>
        <w:t>The Right to Art and Culture</w:t>
      </w:r>
      <w:r w:rsidRPr="00706CB0">
        <w:rPr>
          <w:lang w:val="en-GB"/>
        </w:rPr>
        <w:t xml:space="preserve">, and the strategic changes that followed in CKUs international programme work.   </w:t>
      </w:r>
    </w:p>
    <w:p w14:paraId="74EAF6DB" w14:textId="77777777" w:rsidR="00531929" w:rsidRPr="00706CB0" w:rsidRDefault="00531929" w:rsidP="00531929">
      <w:pPr>
        <w:pStyle w:val="Listeafsnit"/>
        <w:numPr>
          <w:ilvl w:val="0"/>
          <w:numId w:val="5"/>
        </w:numPr>
        <w:spacing w:after="120" w:line="240" w:lineRule="auto"/>
        <w:ind w:left="714" w:hanging="357"/>
        <w:rPr>
          <w:lang w:val="en-GB"/>
        </w:rPr>
      </w:pPr>
      <w:r w:rsidRPr="00706CB0">
        <w:rPr>
          <w:lang w:val="en-GB"/>
        </w:rPr>
        <w:t>Analyse in which way the rights based approach of CKU has contributed to reach the defined target groups of the programmes.</w:t>
      </w:r>
    </w:p>
    <w:p w14:paraId="750D195B" w14:textId="77777777" w:rsidR="00531929" w:rsidRPr="00706CB0" w:rsidRDefault="00531929" w:rsidP="00531929">
      <w:pPr>
        <w:pStyle w:val="Listeafsnit"/>
        <w:numPr>
          <w:ilvl w:val="0"/>
          <w:numId w:val="5"/>
        </w:numPr>
        <w:spacing w:after="120" w:line="240" w:lineRule="auto"/>
        <w:ind w:left="714" w:hanging="357"/>
        <w:rPr>
          <w:lang w:val="en-GB"/>
        </w:rPr>
      </w:pPr>
      <w:r w:rsidRPr="00706CB0">
        <w:rPr>
          <w:lang w:val="en-GB"/>
        </w:rPr>
        <w:t xml:space="preserve">Assess the adequacy in programme preparation, including the preparation of rights based country analysis and the formulation of country programmes. </w:t>
      </w:r>
    </w:p>
    <w:p w14:paraId="3520048F" w14:textId="6A5F71B6" w:rsidR="00531929" w:rsidRPr="00706CB0" w:rsidRDefault="00531929" w:rsidP="004246DC">
      <w:pPr>
        <w:pStyle w:val="Listeafsnit"/>
        <w:numPr>
          <w:ilvl w:val="0"/>
          <w:numId w:val="5"/>
        </w:numPr>
        <w:spacing w:after="120" w:line="240" w:lineRule="auto"/>
        <w:ind w:left="714" w:hanging="357"/>
        <w:rPr>
          <w:lang w:val="en-GB"/>
        </w:rPr>
      </w:pPr>
      <w:r w:rsidRPr="00706CB0">
        <w:rPr>
          <w:lang w:val="en-GB"/>
        </w:rPr>
        <w:t>Assess the adequacy of the programme’s monitoring and evaluation system, results framework, organisational programme set-up, reporting, field monitoring, and review mechanisms of country programme level.</w:t>
      </w:r>
    </w:p>
    <w:p w14:paraId="4B477688" w14:textId="77777777" w:rsidR="00066FA8" w:rsidRPr="00706CB0" w:rsidRDefault="00066FA8" w:rsidP="004246DC">
      <w:pPr>
        <w:spacing w:after="120" w:line="240" w:lineRule="auto"/>
        <w:rPr>
          <w:lang w:val="en-GB"/>
        </w:rPr>
      </w:pPr>
    </w:p>
    <w:p w14:paraId="0F9B16ED" w14:textId="487ADA0C" w:rsidR="00A75278" w:rsidRPr="00706CB0" w:rsidRDefault="00531929" w:rsidP="00A75278">
      <w:pPr>
        <w:spacing w:after="120" w:line="240" w:lineRule="auto"/>
        <w:rPr>
          <w:b/>
          <w:lang w:val="en-GB"/>
        </w:rPr>
      </w:pPr>
      <w:r w:rsidRPr="00706CB0">
        <w:rPr>
          <w:b/>
          <w:lang w:val="en-GB"/>
        </w:rPr>
        <w:t>3</w:t>
      </w:r>
      <w:r w:rsidR="009C4F1B" w:rsidRPr="00706CB0">
        <w:rPr>
          <w:b/>
          <w:lang w:val="en-GB"/>
        </w:rPr>
        <w:t xml:space="preserve">. </w:t>
      </w:r>
      <w:r w:rsidR="006F16D1" w:rsidRPr="00706CB0">
        <w:rPr>
          <w:b/>
          <w:lang w:val="en-GB"/>
        </w:rPr>
        <w:t>Approach and M</w:t>
      </w:r>
      <w:r w:rsidR="00A72BCB" w:rsidRPr="00706CB0">
        <w:rPr>
          <w:b/>
          <w:lang w:val="en-GB"/>
        </w:rPr>
        <w:t>ethodologies:</w:t>
      </w:r>
    </w:p>
    <w:p w14:paraId="1CEA194F" w14:textId="7BC7343A" w:rsidR="00531929" w:rsidRPr="00706CB0" w:rsidRDefault="00531929" w:rsidP="00531929">
      <w:pPr>
        <w:spacing w:after="120" w:line="240" w:lineRule="auto"/>
        <w:rPr>
          <w:lang w:val="en-GB"/>
        </w:rPr>
      </w:pPr>
      <w:r w:rsidRPr="00706CB0">
        <w:rPr>
          <w:lang w:val="en-GB"/>
        </w:rPr>
        <w:t>The evaluation shall be conducted in accordance with the Danida Policy for Evaluation of Development Cooperation and the Evaluation Guidelines</w:t>
      </w:r>
      <w:r w:rsidR="00BC1F84" w:rsidRPr="00706CB0">
        <w:rPr>
          <w:lang w:val="en-GB"/>
        </w:rPr>
        <w:t>,</w:t>
      </w:r>
      <w:r w:rsidRPr="00706CB0">
        <w:rPr>
          <w:lang w:val="en-GB"/>
        </w:rPr>
        <w:t xml:space="preserve"> as well as the OECD/DAC Evaluation Quality Standards (2010). In line with these, the evaluation must be based on a sound methodology to be unfolded in the Inception Report and briefly described in the Evaluation Report.</w:t>
      </w:r>
    </w:p>
    <w:p w14:paraId="4BCB3B91" w14:textId="7FE01B19" w:rsidR="00A72BCB" w:rsidRPr="00706CB0" w:rsidRDefault="00A75278" w:rsidP="00531929">
      <w:pPr>
        <w:spacing w:after="120" w:line="240" w:lineRule="auto"/>
        <w:rPr>
          <w:lang w:val="en-GB"/>
        </w:rPr>
      </w:pPr>
      <w:r w:rsidRPr="00706CB0">
        <w:rPr>
          <w:lang w:val="en-GB"/>
        </w:rPr>
        <w:t xml:space="preserve">The work of CKU is </w:t>
      </w:r>
      <w:r w:rsidR="00A615D0" w:rsidRPr="00706CB0">
        <w:rPr>
          <w:lang w:val="en-GB"/>
        </w:rPr>
        <w:t xml:space="preserve">strongly </w:t>
      </w:r>
      <w:r w:rsidRPr="00706CB0">
        <w:rPr>
          <w:lang w:val="en-GB"/>
        </w:rPr>
        <w:t>influenced by the formulation and approval of Denmark’s strategy for culture and development from 2013</w:t>
      </w:r>
      <w:r w:rsidR="00A615D0" w:rsidRPr="00706CB0">
        <w:rPr>
          <w:lang w:val="en-GB"/>
        </w:rPr>
        <w:t>,</w:t>
      </w:r>
      <w:r w:rsidRPr="00706CB0">
        <w:rPr>
          <w:lang w:val="en-GB"/>
        </w:rPr>
        <w:t xml:space="preserve"> which was adopted by CKU for all its programmes since then. Before the strategic alignment, CKU</w:t>
      </w:r>
      <w:r w:rsidR="008660B8" w:rsidRPr="00706CB0">
        <w:rPr>
          <w:lang w:val="en-GB"/>
        </w:rPr>
        <w:t>’</w:t>
      </w:r>
      <w:r w:rsidRPr="00706CB0">
        <w:rPr>
          <w:lang w:val="en-GB"/>
        </w:rPr>
        <w:t xml:space="preserve">s programmes </w:t>
      </w:r>
      <w:r w:rsidR="00A615D0" w:rsidRPr="00706CB0">
        <w:rPr>
          <w:lang w:val="en-GB"/>
        </w:rPr>
        <w:t xml:space="preserve">were funded through the Local Grant Authority of the embassies and followed their respective priorities. </w:t>
      </w:r>
      <w:r w:rsidR="00A72BCB" w:rsidRPr="00706CB0">
        <w:rPr>
          <w:lang w:val="en-GB"/>
        </w:rPr>
        <w:t>This situation has several implications on the</w:t>
      </w:r>
      <w:r w:rsidR="00A615D0" w:rsidRPr="00706CB0">
        <w:rPr>
          <w:lang w:val="en-GB"/>
        </w:rPr>
        <w:t xml:space="preserve"> evaluation</w:t>
      </w:r>
      <w:r w:rsidR="00A72BCB" w:rsidRPr="00706CB0">
        <w:rPr>
          <w:lang w:val="en-GB"/>
        </w:rPr>
        <w:t>:</w:t>
      </w:r>
    </w:p>
    <w:p w14:paraId="4EB90FBA" w14:textId="3703DE7E" w:rsidR="00A72BCB" w:rsidRPr="00706CB0" w:rsidRDefault="00A72BCB" w:rsidP="00A72BCB">
      <w:pPr>
        <w:pStyle w:val="Listeafsnit"/>
        <w:numPr>
          <w:ilvl w:val="0"/>
          <w:numId w:val="31"/>
        </w:numPr>
        <w:spacing w:after="120" w:line="240" w:lineRule="auto"/>
        <w:rPr>
          <w:lang w:val="en-GB"/>
        </w:rPr>
      </w:pPr>
      <w:r w:rsidRPr="00706CB0">
        <w:rPr>
          <w:lang w:val="en-GB"/>
        </w:rPr>
        <w:t>T</w:t>
      </w:r>
      <w:r w:rsidR="00A615D0" w:rsidRPr="00706CB0">
        <w:rPr>
          <w:lang w:val="en-GB"/>
        </w:rPr>
        <w:t xml:space="preserve">he difference </w:t>
      </w:r>
      <w:r w:rsidR="008660B8" w:rsidRPr="00706CB0">
        <w:rPr>
          <w:lang w:val="en-GB"/>
        </w:rPr>
        <w:t>in approach in</w:t>
      </w:r>
      <w:r w:rsidR="00A615D0" w:rsidRPr="00706CB0">
        <w:rPr>
          <w:lang w:val="en-GB"/>
        </w:rPr>
        <w:t xml:space="preserve"> CKUs programmes before and after the strategic approach</w:t>
      </w:r>
      <w:r w:rsidRPr="00706CB0">
        <w:rPr>
          <w:lang w:val="en-GB"/>
        </w:rPr>
        <w:t xml:space="preserve"> needs to be taken into account</w:t>
      </w:r>
      <w:r w:rsidR="00A615D0" w:rsidRPr="00706CB0">
        <w:rPr>
          <w:lang w:val="en-GB"/>
        </w:rPr>
        <w:t xml:space="preserve">. </w:t>
      </w:r>
    </w:p>
    <w:p w14:paraId="2C9D3B8C" w14:textId="2A7B4AFC" w:rsidR="00A72BCB" w:rsidRPr="00706CB0" w:rsidRDefault="00A72BCB" w:rsidP="00A72BCB">
      <w:pPr>
        <w:pStyle w:val="Listeafsnit"/>
        <w:numPr>
          <w:ilvl w:val="0"/>
          <w:numId w:val="31"/>
        </w:numPr>
        <w:spacing w:after="120" w:line="240" w:lineRule="auto"/>
        <w:rPr>
          <w:lang w:val="en-GB"/>
        </w:rPr>
      </w:pPr>
      <w:r w:rsidRPr="00706CB0">
        <w:rPr>
          <w:lang w:val="en-GB"/>
        </w:rPr>
        <w:t xml:space="preserve">The process itself that led to the formulation of the new strategy shall be part of the evaluation, understanding the strategic approach </w:t>
      </w:r>
      <w:r w:rsidR="008660B8" w:rsidRPr="00706CB0">
        <w:rPr>
          <w:lang w:val="en-GB"/>
        </w:rPr>
        <w:t xml:space="preserve">in the context of </w:t>
      </w:r>
      <w:r w:rsidRPr="00706CB0">
        <w:rPr>
          <w:lang w:val="en-GB"/>
        </w:rPr>
        <w:t>the lessons learnt from the previous way of working.</w:t>
      </w:r>
    </w:p>
    <w:p w14:paraId="27022FB2" w14:textId="15D72F2A" w:rsidR="00A75278" w:rsidRPr="00706CB0" w:rsidRDefault="00A615D0" w:rsidP="00A72BCB">
      <w:pPr>
        <w:pStyle w:val="Listeafsnit"/>
        <w:numPr>
          <w:ilvl w:val="0"/>
          <w:numId w:val="31"/>
        </w:numPr>
        <w:spacing w:after="120" w:line="240" w:lineRule="auto"/>
        <w:rPr>
          <w:lang w:val="en-GB"/>
        </w:rPr>
      </w:pPr>
      <w:r w:rsidRPr="00706CB0">
        <w:rPr>
          <w:lang w:val="en-GB"/>
        </w:rPr>
        <w:t xml:space="preserve">The understanding of culture and development described in the strategy and the Theory of Change of CKU </w:t>
      </w:r>
      <w:r w:rsidR="008660B8" w:rsidRPr="00706CB0">
        <w:rPr>
          <w:lang w:val="en-GB"/>
        </w:rPr>
        <w:t>may</w:t>
      </w:r>
      <w:r w:rsidR="00A72BCB" w:rsidRPr="00706CB0">
        <w:rPr>
          <w:lang w:val="en-GB"/>
        </w:rPr>
        <w:t xml:space="preserve"> </w:t>
      </w:r>
      <w:r w:rsidRPr="00706CB0">
        <w:rPr>
          <w:lang w:val="en-GB"/>
        </w:rPr>
        <w:t xml:space="preserve">need to be </w:t>
      </w:r>
      <w:r w:rsidR="00A72BCB" w:rsidRPr="00706CB0">
        <w:rPr>
          <w:lang w:val="en-GB"/>
        </w:rPr>
        <w:t xml:space="preserve">applied </w:t>
      </w:r>
      <w:r w:rsidR="008660B8" w:rsidRPr="00706CB0">
        <w:rPr>
          <w:lang w:val="en-GB"/>
        </w:rPr>
        <w:t xml:space="preserve">retrospectively </w:t>
      </w:r>
      <w:r w:rsidR="00A72BCB" w:rsidRPr="00706CB0">
        <w:rPr>
          <w:lang w:val="en-GB"/>
        </w:rPr>
        <w:t xml:space="preserve">on programmes that were planned before the formulation of the strategy. </w:t>
      </w:r>
    </w:p>
    <w:p w14:paraId="19EC7E3B" w14:textId="77777777" w:rsidR="00A75278" w:rsidRPr="00706CB0" w:rsidRDefault="00A75278" w:rsidP="007742AA">
      <w:pPr>
        <w:spacing w:after="0" w:line="240" w:lineRule="auto"/>
        <w:rPr>
          <w:color w:val="7030A0"/>
          <w:lang w:val="en-GB"/>
        </w:rPr>
      </w:pPr>
    </w:p>
    <w:p w14:paraId="1089F951" w14:textId="35431B49" w:rsidR="00804AD8" w:rsidRPr="00706CB0" w:rsidRDefault="003E4DCD" w:rsidP="004246DC">
      <w:pPr>
        <w:spacing w:after="120" w:line="240" w:lineRule="auto"/>
        <w:rPr>
          <w:lang w:val="en-GB"/>
        </w:rPr>
      </w:pPr>
      <w:r w:rsidRPr="00706CB0">
        <w:rPr>
          <w:lang w:val="en-GB"/>
        </w:rPr>
        <w:lastRenderedPageBreak/>
        <w:t xml:space="preserve">Intensive data collection will be needed, which includes the review of key documents (list of documents in annex) and engagement with </w:t>
      </w:r>
      <w:r w:rsidR="00025CE5" w:rsidRPr="00706CB0">
        <w:rPr>
          <w:lang w:val="en-GB"/>
        </w:rPr>
        <w:t xml:space="preserve">present and former </w:t>
      </w:r>
      <w:r w:rsidRPr="00706CB0">
        <w:rPr>
          <w:lang w:val="en-GB"/>
        </w:rPr>
        <w:t xml:space="preserve">CKU staff, key stakeholders and implementing partner organisations. </w:t>
      </w:r>
    </w:p>
    <w:p w14:paraId="182E4DB4" w14:textId="5B740C0D" w:rsidR="003E4DCD" w:rsidRPr="00706CB0" w:rsidRDefault="003E4DCD" w:rsidP="004246DC">
      <w:pPr>
        <w:spacing w:after="120" w:line="240" w:lineRule="auto"/>
        <w:rPr>
          <w:lang w:val="en-GB"/>
        </w:rPr>
      </w:pPr>
      <w:r w:rsidRPr="00706CB0">
        <w:rPr>
          <w:lang w:val="en-GB"/>
        </w:rPr>
        <w:t>CKU will assist with preparing and compiling the relevant documents. This includes the elaboration of an overview matrix of projects, and an updated status of results and outcome.</w:t>
      </w:r>
    </w:p>
    <w:p w14:paraId="0DFF46D6" w14:textId="4D99D2A7" w:rsidR="00531929" w:rsidRPr="00706CB0" w:rsidRDefault="00531929" w:rsidP="004246DC">
      <w:pPr>
        <w:spacing w:after="120" w:line="240" w:lineRule="auto"/>
        <w:rPr>
          <w:lang w:val="en-GB"/>
        </w:rPr>
      </w:pPr>
      <w:r w:rsidRPr="00706CB0">
        <w:rPr>
          <w:lang w:val="en-GB"/>
        </w:rPr>
        <w:t>The following elements are envisaged to be part of the evaluation methodology:</w:t>
      </w:r>
    </w:p>
    <w:p w14:paraId="091A5449" w14:textId="4AD49F3D" w:rsidR="00531929" w:rsidRPr="00706CB0" w:rsidRDefault="00531929" w:rsidP="00531929">
      <w:pPr>
        <w:numPr>
          <w:ilvl w:val="0"/>
          <w:numId w:val="37"/>
        </w:numPr>
        <w:spacing w:after="200" w:line="240" w:lineRule="auto"/>
        <w:contextualSpacing/>
        <w:jc w:val="both"/>
        <w:rPr>
          <w:rFonts w:eastAsia="Times New Roman" w:cs="Times New Roman"/>
          <w:lang w:val="en-GB"/>
        </w:rPr>
      </w:pPr>
      <w:r w:rsidRPr="00706CB0">
        <w:rPr>
          <w:rFonts w:eastAsia="Times New Roman" w:cs="Times New Roman"/>
          <w:lang w:val="en-GB"/>
        </w:rPr>
        <w:t>A review of relevant documentation;</w:t>
      </w:r>
    </w:p>
    <w:p w14:paraId="5220363B" w14:textId="7209870D" w:rsidR="00531929" w:rsidRPr="00706CB0" w:rsidRDefault="00531929" w:rsidP="00531929">
      <w:pPr>
        <w:numPr>
          <w:ilvl w:val="0"/>
          <w:numId w:val="37"/>
        </w:numPr>
        <w:spacing w:after="200" w:line="240" w:lineRule="auto"/>
        <w:contextualSpacing/>
        <w:jc w:val="both"/>
        <w:rPr>
          <w:rFonts w:eastAsia="Times New Roman" w:cs="Times New Roman"/>
          <w:lang w:val="en-GB"/>
        </w:rPr>
      </w:pPr>
      <w:r w:rsidRPr="00706CB0">
        <w:rPr>
          <w:rFonts w:eastAsia="Times New Roman" w:cs="Times New Roman"/>
          <w:lang w:val="en-GB"/>
        </w:rPr>
        <w:t xml:space="preserve">Interviews with key stakeholders </w:t>
      </w:r>
      <w:r w:rsidR="00BC1F84" w:rsidRPr="00706CB0">
        <w:rPr>
          <w:rFonts w:eastAsia="Times New Roman" w:cs="Times New Roman"/>
          <w:lang w:val="en-GB"/>
        </w:rPr>
        <w:t>at CKU</w:t>
      </w:r>
      <w:r w:rsidRPr="00706CB0">
        <w:rPr>
          <w:rFonts w:eastAsia="Times New Roman" w:cs="Times New Roman"/>
          <w:lang w:val="en-GB"/>
        </w:rPr>
        <w:t>, inclu</w:t>
      </w:r>
      <w:r w:rsidR="00BC1F84" w:rsidRPr="00706CB0">
        <w:rPr>
          <w:rFonts w:eastAsia="Times New Roman" w:cs="Times New Roman"/>
          <w:lang w:val="en-GB"/>
        </w:rPr>
        <w:t>ding staff in the partner countries;</w:t>
      </w:r>
    </w:p>
    <w:p w14:paraId="2FFECE07" w14:textId="0303E535" w:rsidR="00BC1F84" w:rsidRPr="00706CB0" w:rsidRDefault="00BC1F84" w:rsidP="00BC1F84">
      <w:pPr>
        <w:numPr>
          <w:ilvl w:val="0"/>
          <w:numId w:val="37"/>
        </w:numPr>
        <w:spacing w:after="200" w:line="240" w:lineRule="auto"/>
        <w:contextualSpacing/>
        <w:jc w:val="both"/>
        <w:rPr>
          <w:rFonts w:eastAsia="Times New Roman" w:cs="Times New Roman"/>
          <w:lang w:val="en-GB"/>
        </w:rPr>
      </w:pPr>
      <w:r w:rsidRPr="00706CB0">
        <w:rPr>
          <w:rFonts w:eastAsia="Times New Roman" w:cs="Times New Roman"/>
          <w:lang w:val="en-GB"/>
        </w:rPr>
        <w:t>Interviews with key stakeholders that are part of the implementing partner organisations;</w:t>
      </w:r>
    </w:p>
    <w:p w14:paraId="38CD5ABD" w14:textId="223F14A5" w:rsidR="00531929" w:rsidRPr="00706CB0" w:rsidRDefault="00531929" w:rsidP="00531929">
      <w:pPr>
        <w:numPr>
          <w:ilvl w:val="0"/>
          <w:numId w:val="37"/>
        </w:numPr>
        <w:spacing w:after="200" w:line="240" w:lineRule="auto"/>
        <w:contextualSpacing/>
        <w:jc w:val="both"/>
        <w:rPr>
          <w:rFonts w:eastAsia="Times New Roman" w:cs="Times New Roman"/>
          <w:lang w:val="en-GB"/>
        </w:rPr>
      </w:pPr>
      <w:r w:rsidRPr="00706CB0">
        <w:rPr>
          <w:rFonts w:eastAsia="Times New Roman" w:cs="Times New Roman"/>
          <w:lang w:val="en-GB"/>
        </w:rPr>
        <w:t xml:space="preserve">Interviews with key stakeholders external to </w:t>
      </w:r>
      <w:r w:rsidR="00BC1F84" w:rsidRPr="00706CB0">
        <w:rPr>
          <w:rFonts w:eastAsia="Times New Roman" w:cs="Times New Roman"/>
          <w:lang w:val="en-GB"/>
        </w:rPr>
        <w:t>CKU and the implementing partners</w:t>
      </w:r>
      <w:r w:rsidRPr="00706CB0">
        <w:rPr>
          <w:rFonts w:eastAsia="Times New Roman" w:cs="Times New Roman"/>
          <w:lang w:val="en-GB"/>
        </w:rPr>
        <w:t xml:space="preserve">; multilateral partners, NGOs and researchers </w:t>
      </w:r>
    </w:p>
    <w:p w14:paraId="391ECE51" w14:textId="77777777" w:rsidR="00531929" w:rsidRPr="00706CB0" w:rsidRDefault="00531929" w:rsidP="00531929">
      <w:pPr>
        <w:numPr>
          <w:ilvl w:val="0"/>
          <w:numId w:val="37"/>
        </w:numPr>
        <w:spacing w:after="200" w:line="240" w:lineRule="auto"/>
        <w:contextualSpacing/>
        <w:jc w:val="both"/>
        <w:rPr>
          <w:rFonts w:eastAsia="Times New Roman" w:cs="Times New Roman"/>
          <w:lang w:val="en-GB"/>
        </w:rPr>
      </w:pPr>
      <w:r w:rsidRPr="00706CB0">
        <w:rPr>
          <w:rFonts w:eastAsia="Times New Roman" w:cs="Times New Roman"/>
          <w:lang w:val="en-GB"/>
        </w:rPr>
        <w:t>Focus group discussions where relevant;</w:t>
      </w:r>
    </w:p>
    <w:p w14:paraId="6DDDC21B" w14:textId="197AD5FB" w:rsidR="00531929" w:rsidRPr="00706CB0" w:rsidRDefault="00531929" w:rsidP="00531929">
      <w:pPr>
        <w:numPr>
          <w:ilvl w:val="0"/>
          <w:numId w:val="37"/>
        </w:numPr>
        <w:spacing w:after="200" w:line="240" w:lineRule="auto"/>
        <w:contextualSpacing/>
        <w:jc w:val="both"/>
        <w:rPr>
          <w:rFonts w:eastAsia="Times New Roman" w:cs="Times New Roman"/>
          <w:lang w:val="en-GB"/>
        </w:rPr>
      </w:pPr>
      <w:r w:rsidRPr="00706CB0">
        <w:rPr>
          <w:rFonts w:eastAsia="Times New Roman" w:cs="Times New Roman"/>
          <w:lang w:val="en-GB"/>
        </w:rPr>
        <w:t xml:space="preserve">Country missions to </w:t>
      </w:r>
      <w:r w:rsidR="00BC1F84" w:rsidRPr="00706CB0">
        <w:rPr>
          <w:rFonts w:eastAsia="Times New Roman" w:cs="Times New Roman"/>
          <w:lang w:val="en-GB"/>
        </w:rPr>
        <w:t>the three sample</w:t>
      </w:r>
      <w:r w:rsidRPr="00706CB0">
        <w:rPr>
          <w:rFonts w:eastAsia="Times New Roman" w:cs="Times New Roman"/>
          <w:lang w:val="en-GB"/>
        </w:rPr>
        <w:t xml:space="preserve"> co</w:t>
      </w:r>
      <w:r w:rsidR="00BC1F84" w:rsidRPr="00706CB0">
        <w:rPr>
          <w:rFonts w:eastAsia="Times New Roman" w:cs="Times New Roman"/>
          <w:lang w:val="en-GB"/>
        </w:rPr>
        <w:t>untries selected</w:t>
      </w:r>
    </w:p>
    <w:p w14:paraId="4367AB7C" w14:textId="77777777" w:rsidR="00A959F7" w:rsidRPr="00706CB0" w:rsidRDefault="00A959F7" w:rsidP="004246DC">
      <w:pPr>
        <w:spacing w:after="120" w:line="240" w:lineRule="auto"/>
        <w:rPr>
          <w:lang w:val="en-GB"/>
        </w:rPr>
      </w:pPr>
    </w:p>
    <w:p w14:paraId="7B2A9D9E" w14:textId="77777777" w:rsidR="00D7402B" w:rsidRPr="00706CB0" w:rsidRDefault="00A72BCB" w:rsidP="004246DC">
      <w:pPr>
        <w:spacing w:after="120" w:line="240" w:lineRule="auto"/>
        <w:rPr>
          <w:i/>
          <w:lang w:val="en-GB"/>
        </w:rPr>
      </w:pPr>
      <w:r w:rsidRPr="00706CB0">
        <w:rPr>
          <w:i/>
          <w:lang w:val="en-GB"/>
        </w:rPr>
        <w:t>Sample countries</w:t>
      </w:r>
    </w:p>
    <w:p w14:paraId="2CEDB3FB" w14:textId="751C482D" w:rsidR="00A959F7" w:rsidRPr="00706CB0" w:rsidRDefault="00D7402B" w:rsidP="004246DC">
      <w:pPr>
        <w:spacing w:after="120" w:line="240" w:lineRule="auto"/>
        <w:rPr>
          <w:lang w:val="en-GB"/>
        </w:rPr>
      </w:pPr>
      <w:r w:rsidRPr="00706CB0">
        <w:rPr>
          <w:lang w:val="en-GB"/>
        </w:rPr>
        <w:t xml:space="preserve">The entire portfolio of CKUs international engagement shall be the foundation for this evaluation. However, </w:t>
      </w:r>
      <w:r w:rsidR="001F0597" w:rsidRPr="00706CB0">
        <w:rPr>
          <w:lang w:val="en-GB"/>
        </w:rPr>
        <w:t>for in depth analysis</w:t>
      </w:r>
      <w:r w:rsidR="00BC1F84" w:rsidRPr="00706CB0">
        <w:rPr>
          <w:lang w:val="en-GB"/>
        </w:rPr>
        <w:t>,</w:t>
      </w:r>
      <w:r w:rsidR="001F0597" w:rsidRPr="00706CB0">
        <w:rPr>
          <w:lang w:val="en-GB"/>
        </w:rPr>
        <w:t xml:space="preserve"> three sample countries shall be selected. Selection criteria are</w:t>
      </w:r>
      <w:r w:rsidRPr="00706CB0">
        <w:rPr>
          <w:lang w:val="en-GB"/>
        </w:rPr>
        <w:t>:</w:t>
      </w:r>
    </w:p>
    <w:p w14:paraId="361E6825" w14:textId="77777777" w:rsidR="0040601E" w:rsidRPr="00706CB0" w:rsidRDefault="00804AD8" w:rsidP="00804AD8">
      <w:pPr>
        <w:spacing w:after="120" w:line="240" w:lineRule="auto"/>
        <w:rPr>
          <w:lang w:val="en-GB"/>
        </w:rPr>
      </w:pPr>
      <w:r w:rsidRPr="00706CB0">
        <w:rPr>
          <w:lang w:val="en-GB"/>
        </w:rPr>
        <w:t xml:space="preserve">1. </w:t>
      </w:r>
      <w:r w:rsidR="003E4DCD" w:rsidRPr="00706CB0">
        <w:rPr>
          <w:lang w:val="en-GB"/>
        </w:rPr>
        <w:t xml:space="preserve">Geographic criteria: The country programmes shall represent the </w:t>
      </w:r>
      <w:r w:rsidR="00A959F7" w:rsidRPr="00706CB0">
        <w:rPr>
          <w:lang w:val="en-GB"/>
        </w:rPr>
        <w:t>three</w:t>
      </w:r>
      <w:r w:rsidR="003E4DCD" w:rsidRPr="00706CB0">
        <w:rPr>
          <w:lang w:val="en-GB"/>
        </w:rPr>
        <w:t xml:space="preserve"> regions of CKU progra</w:t>
      </w:r>
      <w:r w:rsidR="0040601E" w:rsidRPr="00706CB0">
        <w:rPr>
          <w:lang w:val="en-GB"/>
        </w:rPr>
        <w:t>mmes, selecting at least one country fro</w:t>
      </w:r>
    </w:p>
    <w:p w14:paraId="478E239D" w14:textId="77777777" w:rsidR="0040601E" w:rsidRPr="00706CB0" w:rsidRDefault="00C51C5C" w:rsidP="00804AD8">
      <w:pPr>
        <w:pStyle w:val="Listeafsnit"/>
        <w:numPr>
          <w:ilvl w:val="0"/>
          <w:numId w:val="27"/>
        </w:numPr>
        <w:spacing w:after="120" w:line="240" w:lineRule="auto"/>
        <w:rPr>
          <w:lang w:val="en-GB"/>
        </w:rPr>
      </w:pPr>
      <w:r w:rsidRPr="00706CB0">
        <w:rPr>
          <w:b/>
          <w:i/>
          <w:lang w:val="en-GB"/>
        </w:rPr>
        <w:t>MENA region</w:t>
      </w:r>
      <w:r w:rsidRPr="00706CB0">
        <w:rPr>
          <w:lang w:val="en-GB"/>
        </w:rPr>
        <w:t>: possible countries include Palestine, Egypt</w:t>
      </w:r>
    </w:p>
    <w:p w14:paraId="32F92583" w14:textId="77777777" w:rsidR="0040601E" w:rsidRPr="00706CB0" w:rsidRDefault="00C51C5C" w:rsidP="00804AD8">
      <w:pPr>
        <w:pStyle w:val="Listeafsnit"/>
        <w:numPr>
          <w:ilvl w:val="0"/>
          <w:numId w:val="27"/>
        </w:numPr>
        <w:spacing w:after="120" w:line="240" w:lineRule="auto"/>
        <w:rPr>
          <w:lang w:val="en-GB"/>
        </w:rPr>
      </w:pPr>
      <w:r w:rsidRPr="00706CB0">
        <w:rPr>
          <w:b/>
          <w:i/>
          <w:lang w:val="en-GB"/>
        </w:rPr>
        <w:t>Africa</w:t>
      </w:r>
      <w:r w:rsidRPr="00706CB0">
        <w:rPr>
          <w:lang w:val="en-GB"/>
        </w:rPr>
        <w:t>: possible countries include Mali, Burkina Faso, Kenya, Tanzania, Uganda, Mozambique, + regional programmes (DNA, CIA, AMFN)</w:t>
      </w:r>
    </w:p>
    <w:p w14:paraId="1B20E683" w14:textId="77777777" w:rsidR="003E4DCD" w:rsidRPr="00706CB0" w:rsidRDefault="00A959F7" w:rsidP="00804AD8">
      <w:pPr>
        <w:pStyle w:val="Listeafsnit"/>
        <w:numPr>
          <w:ilvl w:val="0"/>
          <w:numId w:val="27"/>
        </w:numPr>
        <w:spacing w:after="120" w:line="240" w:lineRule="auto"/>
        <w:rPr>
          <w:lang w:val="en-GB"/>
        </w:rPr>
      </w:pPr>
      <w:r w:rsidRPr="00706CB0">
        <w:rPr>
          <w:b/>
          <w:i/>
          <w:lang w:val="en-GB"/>
        </w:rPr>
        <w:t>Asia</w:t>
      </w:r>
      <w:r w:rsidR="00C51C5C" w:rsidRPr="00706CB0">
        <w:rPr>
          <w:lang w:val="en-GB"/>
        </w:rPr>
        <w:t xml:space="preserve">: possible countries include Nepal, Pakistan, Indonesia, Afghanistan, Myanmar, Bhutan, Vietnam, Iraq, Bangladesh, </w:t>
      </w:r>
    </w:p>
    <w:p w14:paraId="5837F3D9" w14:textId="77777777" w:rsidR="00A959F7" w:rsidRPr="00706CB0" w:rsidRDefault="00804AD8" w:rsidP="00804AD8">
      <w:pPr>
        <w:spacing w:after="120" w:line="240" w:lineRule="auto"/>
        <w:rPr>
          <w:lang w:val="en-GB"/>
        </w:rPr>
      </w:pPr>
      <w:r w:rsidRPr="00706CB0">
        <w:rPr>
          <w:lang w:val="en-GB"/>
        </w:rPr>
        <w:t xml:space="preserve">2. </w:t>
      </w:r>
      <w:r w:rsidR="003E4DCD" w:rsidRPr="00706CB0">
        <w:rPr>
          <w:lang w:val="en-GB"/>
        </w:rPr>
        <w:t xml:space="preserve">Strategic criteria: </w:t>
      </w:r>
    </w:p>
    <w:p w14:paraId="7592B7E0" w14:textId="77777777" w:rsidR="003E4DCD" w:rsidRPr="00706CB0" w:rsidRDefault="00A959F7" w:rsidP="00804AD8">
      <w:pPr>
        <w:pStyle w:val="Listeafsnit"/>
        <w:numPr>
          <w:ilvl w:val="0"/>
          <w:numId w:val="29"/>
        </w:numPr>
        <w:spacing w:after="120" w:line="240" w:lineRule="auto"/>
        <w:rPr>
          <w:lang w:val="en-GB"/>
        </w:rPr>
      </w:pPr>
      <w:r w:rsidRPr="00706CB0">
        <w:rPr>
          <w:lang w:val="en-GB"/>
        </w:rPr>
        <w:t xml:space="preserve">At least two countries shall have a programme focus on </w:t>
      </w:r>
      <w:r w:rsidR="00B83D1E" w:rsidRPr="00706CB0">
        <w:rPr>
          <w:b/>
          <w:i/>
          <w:lang w:val="en-GB"/>
        </w:rPr>
        <w:t>e</w:t>
      </w:r>
      <w:r w:rsidRPr="00706CB0">
        <w:rPr>
          <w:b/>
          <w:i/>
          <w:lang w:val="en-GB"/>
        </w:rPr>
        <w:t>mpo</w:t>
      </w:r>
      <w:r w:rsidR="00C51C5C" w:rsidRPr="00706CB0">
        <w:rPr>
          <w:b/>
          <w:i/>
          <w:lang w:val="en-GB"/>
        </w:rPr>
        <w:t>werment through participation</w:t>
      </w:r>
      <w:r w:rsidR="00C51C5C" w:rsidRPr="00706CB0">
        <w:rPr>
          <w:lang w:val="en-GB"/>
        </w:rPr>
        <w:t xml:space="preserve">. </w:t>
      </w:r>
      <w:r w:rsidR="00D7402B" w:rsidRPr="00706CB0">
        <w:rPr>
          <w:lang w:val="en-GB"/>
        </w:rPr>
        <w:t>Shortlisted</w:t>
      </w:r>
      <w:r w:rsidRPr="00706CB0">
        <w:rPr>
          <w:lang w:val="en-GB"/>
        </w:rPr>
        <w:t xml:space="preserve"> countries include: </w:t>
      </w:r>
      <w:r w:rsidR="00B83D1E" w:rsidRPr="00706CB0">
        <w:rPr>
          <w:lang w:val="en-GB"/>
        </w:rPr>
        <w:t>Uganda, Kenya, Tanzania, Burkina Faso, Palestine, Egypt, Nepal, Bhutan</w:t>
      </w:r>
      <w:r w:rsidR="00804AD8" w:rsidRPr="00706CB0">
        <w:rPr>
          <w:lang w:val="en-GB"/>
        </w:rPr>
        <w:t>.</w:t>
      </w:r>
    </w:p>
    <w:p w14:paraId="18A509BC" w14:textId="77777777" w:rsidR="00A959F7" w:rsidRPr="00706CB0" w:rsidRDefault="00A959F7" w:rsidP="00804AD8">
      <w:pPr>
        <w:pStyle w:val="Listeafsnit"/>
        <w:numPr>
          <w:ilvl w:val="0"/>
          <w:numId w:val="29"/>
        </w:numPr>
        <w:spacing w:after="120" w:line="240" w:lineRule="auto"/>
        <w:rPr>
          <w:lang w:val="en-GB"/>
        </w:rPr>
      </w:pPr>
      <w:r w:rsidRPr="00706CB0">
        <w:rPr>
          <w:lang w:val="en-GB"/>
        </w:rPr>
        <w:t xml:space="preserve">At least two countries shall have a programme focus on </w:t>
      </w:r>
      <w:r w:rsidRPr="00706CB0">
        <w:rPr>
          <w:b/>
          <w:i/>
          <w:lang w:val="en-GB"/>
        </w:rPr>
        <w:t>cul</w:t>
      </w:r>
      <w:r w:rsidR="00C51C5C" w:rsidRPr="00706CB0">
        <w:rPr>
          <w:b/>
          <w:i/>
          <w:lang w:val="en-GB"/>
        </w:rPr>
        <w:t>tural and creative industries</w:t>
      </w:r>
      <w:r w:rsidR="00C51C5C" w:rsidRPr="00706CB0">
        <w:rPr>
          <w:lang w:val="en-GB"/>
        </w:rPr>
        <w:t xml:space="preserve">. </w:t>
      </w:r>
      <w:r w:rsidR="00D7402B" w:rsidRPr="00706CB0">
        <w:rPr>
          <w:lang w:val="en-GB"/>
        </w:rPr>
        <w:t>Shortlisted</w:t>
      </w:r>
      <w:r w:rsidRPr="00706CB0">
        <w:rPr>
          <w:lang w:val="en-GB"/>
        </w:rPr>
        <w:t xml:space="preserve"> countries include: </w:t>
      </w:r>
      <w:r w:rsidR="00B83D1E" w:rsidRPr="00706CB0">
        <w:rPr>
          <w:lang w:val="en-GB"/>
        </w:rPr>
        <w:t>Kenya, Tanzania, Burkina Faso, Nepal, partly also Palestine and Uganda</w:t>
      </w:r>
      <w:r w:rsidR="00804AD8" w:rsidRPr="00706CB0">
        <w:rPr>
          <w:lang w:val="en-GB"/>
        </w:rPr>
        <w:t>.</w:t>
      </w:r>
    </w:p>
    <w:p w14:paraId="0E73206E" w14:textId="77777777" w:rsidR="00A959F7" w:rsidRPr="00706CB0" w:rsidRDefault="00A959F7" w:rsidP="00804AD8">
      <w:pPr>
        <w:pStyle w:val="Listeafsnit"/>
        <w:numPr>
          <w:ilvl w:val="0"/>
          <w:numId w:val="29"/>
        </w:numPr>
        <w:spacing w:after="120" w:line="240" w:lineRule="auto"/>
        <w:rPr>
          <w:lang w:val="en-GB"/>
        </w:rPr>
      </w:pPr>
      <w:r w:rsidRPr="00706CB0">
        <w:rPr>
          <w:lang w:val="en-GB"/>
        </w:rPr>
        <w:t>At least two countries shall have a programme focu</w:t>
      </w:r>
      <w:r w:rsidR="00C51C5C" w:rsidRPr="00706CB0">
        <w:rPr>
          <w:lang w:val="en-GB"/>
        </w:rPr>
        <w:t xml:space="preserve">s on </w:t>
      </w:r>
      <w:r w:rsidR="00C51C5C" w:rsidRPr="00706CB0">
        <w:rPr>
          <w:b/>
          <w:i/>
          <w:lang w:val="en-GB"/>
        </w:rPr>
        <w:t>peace and reconciliation</w:t>
      </w:r>
      <w:r w:rsidR="00C51C5C" w:rsidRPr="00706CB0">
        <w:rPr>
          <w:lang w:val="en-GB"/>
        </w:rPr>
        <w:t xml:space="preserve">. </w:t>
      </w:r>
      <w:r w:rsidR="00D7402B" w:rsidRPr="00706CB0">
        <w:rPr>
          <w:lang w:val="en-GB"/>
        </w:rPr>
        <w:t>Shortlisted</w:t>
      </w:r>
      <w:r w:rsidRPr="00706CB0">
        <w:rPr>
          <w:lang w:val="en-GB"/>
        </w:rPr>
        <w:t xml:space="preserve"> countries include: </w:t>
      </w:r>
      <w:r w:rsidR="00B83D1E" w:rsidRPr="00706CB0">
        <w:rPr>
          <w:lang w:val="en-GB"/>
        </w:rPr>
        <w:t>Nepal, Uganda, Indonesia</w:t>
      </w:r>
      <w:r w:rsidR="00804AD8" w:rsidRPr="00706CB0">
        <w:rPr>
          <w:lang w:val="en-GB"/>
        </w:rPr>
        <w:t>.</w:t>
      </w:r>
      <w:r w:rsidR="00B83D1E" w:rsidRPr="00706CB0">
        <w:rPr>
          <w:lang w:val="en-GB"/>
        </w:rPr>
        <w:t xml:space="preserve"> </w:t>
      </w:r>
    </w:p>
    <w:p w14:paraId="71AFD91A" w14:textId="744146C1" w:rsidR="003E4DCD" w:rsidRPr="00706CB0" w:rsidRDefault="00D7402B" w:rsidP="004246DC">
      <w:pPr>
        <w:spacing w:after="120" w:line="240" w:lineRule="auto"/>
        <w:rPr>
          <w:lang w:val="en-GB"/>
        </w:rPr>
      </w:pPr>
      <w:r w:rsidRPr="00706CB0">
        <w:rPr>
          <w:lang w:val="en-GB"/>
        </w:rPr>
        <w:t xml:space="preserve">3. Criteria of years of engagement: </w:t>
      </w:r>
      <w:r w:rsidR="00020F4C" w:rsidRPr="00706CB0">
        <w:rPr>
          <w:lang w:val="en-GB"/>
        </w:rPr>
        <w:t>priority</w:t>
      </w:r>
      <w:r w:rsidRPr="00706CB0">
        <w:rPr>
          <w:lang w:val="en-GB"/>
        </w:rPr>
        <w:t xml:space="preserve"> shall </w:t>
      </w:r>
      <w:r w:rsidR="00020F4C" w:rsidRPr="00706CB0">
        <w:rPr>
          <w:lang w:val="en-GB"/>
        </w:rPr>
        <w:t>be given to countries that have</w:t>
      </w:r>
      <w:r w:rsidRPr="00706CB0">
        <w:rPr>
          <w:lang w:val="en-GB"/>
        </w:rPr>
        <w:t xml:space="preserve"> been supported by CKU more than one programme phase. </w:t>
      </w:r>
      <w:r w:rsidR="001F0597" w:rsidRPr="00706CB0">
        <w:rPr>
          <w:lang w:val="en-GB"/>
        </w:rPr>
        <w:t>These countries include Uganda, Tan</w:t>
      </w:r>
      <w:r w:rsidR="00020F4C" w:rsidRPr="00706CB0">
        <w:rPr>
          <w:lang w:val="en-GB"/>
        </w:rPr>
        <w:t xml:space="preserve">zania, Mali, </w:t>
      </w:r>
      <w:r w:rsidR="00823721" w:rsidRPr="00706CB0">
        <w:rPr>
          <w:lang w:val="en-GB"/>
        </w:rPr>
        <w:t xml:space="preserve">Burkina Faso, </w:t>
      </w:r>
      <w:r w:rsidR="00020F4C" w:rsidRPr="00706CB0">
        <w:rPr>
          <w:lang w:val="en-GB"/>
        </w:rPr>
        <w:t>Palestine, and Nepal</w:t>
      </w:r>
      <w:r w:rsidR="00823721" w:rsidRPr="00706CB0">
        <w:rPr>
          <w:lang w:val="en-GB"/>
        </w:rPr>
        <w:t>.</w:t>
      </w:r>
    </w:p>
    <w:p w14:paraId="005E3BDF" w14:textId="710741F1" w:rsidR="00531929" w:rsidRPr="00706CB0" w:rsidRDefault="00531929" w:rsidP="00531929">
      <w:pPr>
        <w:spacing w:after="120" w:line="240" w:lineRule="auto"/>
        <w:rPr>
          <w:color w:val="7030A0"/>
          <w:lang w:val="en-GB"/>
        </w:rPr>
      </w:pPr>
    </w:p>
    <w:p w14:paraId="3A2B8B2A" w14:textId="6E953673" w:rsidR="00531929" w:rsidRPr="00706CB0" w:rsidRDefault="006F16D1" w:rsidP="00531929">
      <w:pPr>
        <w:spacing w:after="120" w:line="240" w:lineRule="auto"/>
        <w:rPr>
          <w:b/>
          <w:lang w:val="en-GB"/>
        </w:rPr>
      </w:pPr>
      <w:r w:rsidRPr="00706CB0">
        <w:rPr>
          <w:b/>
          <w:lang w:val="en-GB"/>
        </w:rPr>
        <w:t>4. Outputs and T</w:t>
      </w:r>
      <w:r w:rsidR="00823721" w:rsidRPr="00706CB0">
        <w:rPr>
          <w:b/>
          <w:lang w:val="en-GB"/>
        </w:rPr>
        <w:t>imeline</w:t>
      </w:r>
    </w:p>
    <w:p w14:paraId="3386AA18" w14:textId="77777777" w:rsidR="00531929" w:rsidRPr="00706CB0" w:rsidRDefault="00531929" w:rsidP="00531929">
      <w:pPr>
        <w:spacing w:after="120" w:line="240" w:lineRule="auto"/>
        <w:rPr>
          <w:lang w:val="en-GB"/>
        </w:rPr>
      </w:pPr>
      <w:r w:rsidRPr="00706CB0">
        <w:rPr>
          <w:lang w:val="en-GB"/>
        </w:rPr>
        <w:t>The deliverables for this evaluation are:</w:t>
      </w:r>
    </w:p>
    <w:p w14:paraId="503828CB" w14:textId="5C017B40" w:rsidR="00531929" w:rsidRPr="00706CB0" w:rsidRDefault="00531929" w:rsidP="00531929">
      <w:pPr>
        <w:pStyle w:val="Listeafsnit"/>
        <w:numPr>
          <w:ilvl w:val="0"/>
          <w:numId w:val="6"/>
        </w:numPr>
        <w:spacing w:after="120" w:line="240" w:lineRule="auto"/>
        <w:rPr>
          <w:lang w:val="en-GB"/>
        </w:rPr>
      </w:pPr>
      <w:r w:rsidRPr="00706CB0">
        <w:rPr>
          <w:lang w:val="en-GB"/>
        </w:rPr>
        <w:t>An inception report</w:t>
      </w:r>
      <w:r w:rsidR="00823721" w:rsidRPr="00706CB0">
        <w:rPr>
          <w:lang w:val="en-GB"/>
        </w:rPr>
        <w:t xml:space="preserve"> (not exceeding 10 pages)</w:t>
      </w:r>
      <w:r w:rsidRPr="00706CB0">
        <w:rPr>
          <w:lang w:val="en-GB"/>
        </w:rPr>
        <w:t xml:space="preserve">, </w:t>
      </w:r>
      <w:r w:rsidRPr="00706CB0">
        <w:rPr>
          <w:rStyle w:val="tgc"/>
          <w:lang w:val="en-GB"/>
        </w:rPr>
        <w:t>ensuring mutual understanding between CKU and the consultant about the details of the assignment.</w:t>
      </w:r>
      <w:r w:rsidRPr="00706CB0">
        <w:rPr>
          <w:lang w:val="en-GB"/>
        </w:rPr>
        <w:t xml:space="preserve"> This includes a work plan over the assignment of the evaluation. </w:t>
      </w:r>
    </w:p>
    <w:p w14:paraId="1581D7EE" w14:textId="77777777" w:rsidR="00531929" w:rsidRPr="00706CB0" w:rsidRDefault="00531929" w:rsidP="00531929">
      <w:pPr>
        <w:pStyle w:val="Listeafsnit"/>
        <w:numPr>
          <w:ilvl w:val="0"/>
          <w:numId w:val="6"/>
        </w:numPr>
        <w:spacing w:after="120" w:line="240" w:lineRule="auto"/>
        <w:rPr>
          <w:lang w:val="en-GB"/>
        </w:rPr>
      </w:pPr>
      <w:r w:rsidRPr="00706CB0">
        <w:rPr>
          <w:lang w:val="en-GB"/>
        </w:rPr>
        <w:t>A document presenting preliminary findings after finalisation of the field visits, ensuring that the work is on the right track.</w:t>
      </w:r>
    </w:p>
    <w:p w14:paraId="31457351" w14:textId="77777777" w:rsidR="00531929" w:rsidRPr="00706CB0" w:rsidRDefault="00531929" w:rsidP="00531929">
      <w:pPr>
        <w:pStyle w:val="Listeafsnit"/>
        <w:numPr>
          <w:ilvl w:val="0"/>
          <w:numId w:val="6"/>
        </w:numPr>
        <w:spacing w:after="120" w:line="240" w:lineRule="auto"/>
        <w:rPr>
          <w:lang w:val="en-GB"/>
        </w:rPr>
      </w:pPr>
      <w:r w:rsidRPr="00706CB0">
        <w:rPr>
          <w:lang w:val="en-GB"/>
        </w:rPr>
        <w:lastRenderedPageBreak/>
        <w:t>A first draft evaluation report, responding to all tasks mentioned in this ToR document. The CKU reference group will provide feedback and comments within one week.</w:t>
      </w:r>
    </w:p>
    <w:p w14:paraId="5065CA8F" w14:textId="77777777" w:rsidR="00531929" w:rsidRPr="00706CB0" w:rsidRDefault="00531929" w:rsidP="00531929">
      <w:pPr>
        <w:pStyle w:val="Listeafsnit"/>
        <w:numPr>
          <w:ilvl w:val="0"/>
          <w:numId w:val="6"/>
        </w:numPr>
        <w:spacing w:after="120" w:line="240" w:lineRule="auto"/>
        <w:rPr>
          <w:lang w:val="en-GB"/>
        </w:rPr>
      </w:pPr>
      <w:r w:rsidRPr="00706CB0">
        <w:rPr>
          <w:lang w:val="en-GB"/>
        </w:rPr>
        <w:t>A second draft evaluation report, responding to all tasks mentioned in this ToR document. The CKU reference group will provide feedback and comments within one week.</w:t>
      </w:r>
    </w:p>
    <w:p w14:paraId="6C18AB82" w14:textId="77777777" w:rsidR="00531929" w:rsidRPr="00706CB0" w:rsidRDefault="00531929" w:rsidP="00531929">
      <w:pPr>
        <w:pStyle w:val="Listeafsnit"/>
        <w:numPr>
          <w:ilvl w:val="0"/>
          <w:numId w:val="6"/>
        </w:numPr>
        <w:spacing w:after="120" w:line="240" w:lineRule="auto"/>
        <w:rPr>
          <w:lang w:val="en-GB"/>
        </w:rPr>
      </w:pPr>
      <w:r w:rsidRPr="00706CB0">
        <w:rPr>
          <w:lang w:val="en-GB"/>
        </w:rPr>
        <w:t>A final report, integrating comments from the reference group. The report shall be of approximately 30 pages + the summary and annexes.</w:t>
      </w:r>
    </w:p>
    <w:p w14:paraId="09789915" w14:textId="77777777" w:rsidR="00531929" w:rsidRPr="00706CB0" w:rsidRDefault="00531929" w:rsidP="00531929">
      <w:pPr>
        <w:spacing w:after="120" w:line="240" w:lineRule="auto"/>
        <w:rPr>
          <w:lang w:val="en-GB"/>
        </w:rPr>
      </w:pPr>
      <w:r w:rsidRPr="00706CB0">
        <w:rPr>
          <w:lang w:val="en-GB"/>
        </w:rPr>
        <w:t xml:space="preserve">All deliverables shall be prepared in English. </w:t>
      </w:r>
    </w:p>
    <w:p w14:paraId="72958208" w14:textId="77777777" w:rsidR="00531929" w:rsidRPr="00706CB0" w:rsidRDefault="00531929" w:rsidP="007742AA">
      <w:pPr>
        <w:spacing w:after="0" w:line="240" w:lineRule="auto"/>
        <w:rPr>
          <w:b/>
          <w:lang w:val="en-GB"/>
        </w:rPr>
      </w:pPr>
    </w:p>
    <w:p w14:paraId="5C865BCD" w14:textId="254E28D6" w:rsidR="009C4F1B" w:rsidRPr="00706CB0" w:rsidRDefault="009C4F1B" w:rsidP="004246DC">
      <w:pPr>
        <w:spacing w:after="120" w:line="240" w:lineRule="auto"/>
        <w:rPr>
          <w:lang w:val="en-GB"/>
        </w:rPr>
      </w:pPr>
      <w:r w:rsidRPr="00706CB0">
        <w:rPr>
          <w:i/>
          <w:lang w:val="en-GB"/>
        </w:rPr>
        <w:t>Time period</w:t>
      </w:r>
      <w:r w:rsidRPr="00706CB0">
        <w:rPr>
          <w:lang w:val="en-GB"/>
        </w:rPr>
        <w:t>: The evaluation is expected to start 1</w:t>
      </w:r>
      <w:r w:rsidRPr="00706CB0">
        <w:rPr>
          <w:vertAlign w:val="superscript"/>
          <w:lang w:val="en-GB"/>
        </w:rPr>
        <w:t>st</w:t>
      </w:r>
      <w:r w:rsidRPr="00706CB0">
        <w:rPr>
          <w:lang w:val="en-GB"/>
        </w:rPr>
        <w:t xml:space="preserve"> of September and to be concluded by end of December 2016.</w:t>
      </w:r>
      <w:r w:rsidR="00823721" w:rsidRPr="00706CB0">
        <w:rPr>
          <w:lang w:val="en-GB"/>
        </w:rPr>
        <w:t xml:space="preserve"> The following timetable is proposed:</w:t>
      </w:r>
    </w:p>
    <w:tbl>
      <w:tblPr>
        <w:tblStyle w:val="Tabel-Gitter"/>
        <w:tblW w:w="0" w:type="auto"/>
        <w:tblLook w:val="04A0" w:firstRow="1" w:lastRow="0" w:firstColumn="1" w:lastColumn="0" w:noHBand="0" w:noVBand="1"/>
      </w:tblPr>
      <w:tblGrid>
        <w:gridCol w:w="2405"/>
        <w:gridCol w:w="1985"/>
        <w:gridCol w:w="5238"/>
      </w:tblGrid>
      <w:tr w:rsidR="00D7402B" w:rsidRPr="00706CB0" w14:paraId="085A9EF1" w14:textId="77777777" w:rsidTr="002149B7">
        <w:tc>
          <w:tcPr>
            <w:tcW w:w="2405" w:type="dxa"/>
            <w:shd w:val="clear" w:color="auto" w:fill="D9D9D9" w:themeFill="background1" w:themeFillShade="D9"/>
          </w:tcPr>
          <w:p w14:paraId="297CA609" w14:textId="77777777" w:rsidR="00D7402B" w:rsidRPr="00706CB0" w:rsidRDefault="00D7402B" w:rsidP="002149B7">
            <w:pPr>
              <w:spacing w:before="40" w:after="40"/>
              <w:rPr>
                <w:b/>
                <w:lang w:val="en-GB"/>
              </w:rPr>
            </w:pPr>
            <w:r w:rsidRPr="00706CB0">
              <w:rPr>
                <w:b/>
                <w:lang w:val="en-GB"/>
              </w:rPr>
              <w:t>Timing</w:t>
            </w:r>
          </w:p>
        </w:tc>
        <w:tc>
          <w:tcPr>
            <w:tcW w:w="1985" w:type="dxa"/>
            <w:shd w:val="clear" w:color="auto" w:fill="D9D9D9" w:themeFill="background1" w:themeFillShade="D9"/>
          </w:tcPr>
          <w:p w14:paraId="2DFA6397" w14:textId="77777777" w:rsidR="00D7402B" w:rsidRPr="00706CB0" w:rsidRDefault="00D7402B" w:rsidP="002149B7">
            <w:pPr>
              <w:spacing w:before="40" w:after="40"/>
              <w:rPr>
                <w:b/>
                <w:lang w:val="en-GB"/>
              </w:rPr>
            </w:pPr>
            <w:r w:rsidRPr="00706CB0">
              <w:rPr>
                <w:b/>
                <w:lang w:val="en-GB"/>
              </w:rPr>
              <w:t>Deadline</w:t>
            </w:r>
          </w:p>
        </w:tc>
        <w:tc>
          <w:tcPr>
            <w:tcW w:w="5238" w:type="dxa"/>
            <w:shd w:val="clear" w:color="auto" w:fill="D9D9D9" w:themeFill="background1" w:themeFillShade="D9"/>
          </w:tcPr>
          <w:p w14:paraId="79CB53CB" w14:textId="77777777" w:rsidR="00D7402B" w:rsidRPr="00706CB0" w:rsidRDefault="00D7402B" w:rsidP="002149B7">
            <w:pPr>
              <w:spacing w:before="40" w:after="40"/>
              <w:rPr>
                <w:b/>
                <w:lang w:val="en-GB"/>
              </w:rPr>
            </w:pPr>
            <w:r w:rsidRPr="00706CB0">
              <w:rPr>
                <w:b/>
                <w:lang w:val="en-GB"/>
              </w:rPr>
              <w:t>Description</w:t>
            </w:r>
          </w:p>
        </w:tc>
      </w:tr>
      <w:tr w:rsidR="00D7402B" w:rsidRPr="00706CB0" w14:paraId="2B18F754" w14:textId="77777777" w:rsidTr="002149B7">
        <w:tc>
          <w:tcPr>
            <w:tcW w:w="2405" w:type="dxa"/>
          </w:tcPr>
          <w:p w14:paraId="17903156" w14:textId="77777777" w:rsidR="00D7402B" w:rsidRPr="00706CB0" w:rsidRDefault="00D7402B" w:rsidP="002149B7">
            <w:pPr>
              <w:spacing w:before="40" w:after="40"/>
              <w:rPr>
                <w:sz w:val="20"/>
                <w:szCs w:val="20"/>
                <w:lang w:val="en-GB"/>
              </w:rPr>
            </w:pPr>
            <w:r w:rsidRPr="00706CB0">
              <w:rPr>
                <w:sz w:val="20"/>
                <w:szCs w:val="20"/>
                <w:lang w:val="en-GB"/>
              </w:rPr>
              <w:t>June to August 2016</w:t>
            </w:r>
          </w:p>
        </w:tc>
        <w:tc>
          <w:tcPr>
            <w:tcW w:w="1985" w:type="dxa"/>
          </w:tcPr>
          <w:p w14:paraId="11C1630C" w14:textId="77777777" w:rsidR="00D7402B" w:rsidRPr="00706CB0" w:rsidRDefault="00730A48" w:rsidP="002149B7">
            <w:pPr>
              <w:spacing w:before="40" w:after="40"/>
              <w:rPr>
                <w:sz w:val="20"/>
                <w:szCs w:val="20"/>
                <w:lang w:val="en-GB"/>
              </w:rPr>
            </w:pPr>
            <w:r w:rsidRPr="00706CB0">
              <w:rPr>
                <w:sz w:val="20"/>
                <w:szCs w:val="20"/>
                <w:lang w:val="en-GB"/>
              </w:rPr>
              <w:t>31.08.2016</w:t>
            </w:r>
          </w:p>
        </w:tc>
        <w:tc>
          <w:tcPr>
            <w:tcW w:w="5238" w:type="dxa"/>
          </w:tcPr>
          <w:p w14:paraId="43017CAE" w14:textId="77777777" w:rsidR="00D7402B" w:rsidRPr="00706CB0" w:rsidRDefault="00D7402B" w:rsidP="002149B7">
            <w:pPr>
              <w:spacing w:before="40" w:after="40"/>
              <w:rPr>
                <w:sz w:val="20"/>
                <w:szCs w:val="20"/>
                <w:lang w:val="en-GB"/>
              </w:rPr>
            </w:pPr>
            <w:r w:rsidRPr="00706CB0">
              <w:rPr>
                <w:sz w:val="20"/>
                <w:szCs w:val="20"/>
                <w:lang w:val="en-GB"/>
              </w:rPr>
              <w:t>Tender process</w:t>
            </w:r>
          </w:p>
        </w:tc>
      </w:tr>
      <w:tr w:rsidR="00D7402B" w:rsidRPr="00706CB0" w14:paraId="239E4391" w14:textId="77777777" w:rsidTr="002149B7">
        <w:tc>
          <w:tcPr>
            <w:tcW w:w="2405" w:type="dxa"/>
          </w:tcPr>
          <w:p w14:paraId="77D51C5E" w14:textId="77777777" w:rsidR="00D7402B" w:rsidRPr="00706CB0" w:rsidRDefault="00D7402B" w:rsidP="002149B7">
            <w:pPr>
              <w:spacing w:before="40" w:after="40"/>
              <w:rPr>
                <w:sz w:val="20"/>
                <w:szCs w:val="20"/>
                <w:lang w:val="en-GB"/>
              </w:rPr>
            </w:pPr>
          </w:p>
        </w:tc>
        <w:tc>
          <w:tcPr>
            <w:tcW w:w="1985" w:type="dxa"/>
          </w:tcPr>
          <w:p w14:paraId="45AE2D98" w14:textId="77777777" w:rsidR="00D7402B" w:rsidRPr="00706CB0" w:rsidRDefault="00D7402B" w:rsidP="002149B7">
            <w:pPr>
              <w:spacing w:before="40" w:after="40"/>
              <w:rPr>
                <w:sz w:val="20"/>
                <w:szCs w:val="20"/>
                <w:lang w:val="en-GB"/>
              </w:rPr>
            </w:pPr>
            <w:r w:rsidRPr="00706CB0">
              <w:rPr>
                <w:sz w:val="20"/>
                <w:szCs w:val="20"/>
                <w:lang w:val="en-GB"/>
              </w:rPr>
              <w:t>01.09.2016</w:t>
            </w:r>
          </w:p>
        </w:tc>
        <w:tc>
          <w:tcPr>
            <w:tcW w:w="5238" w:type="dxa"/>
          </w:tcPr>
          <w:p w14:paraId="46180C57" w14:textId="77777777" w:rsidR="00D7402B" w:rsidRPr="00706CB0" w:rsidRDefault="00D7402B" w:rsidP="002149B7">
            <w:pPr>
              <w:spacing w:before="40" w:after="40"/>
              <w:rPr>
                <w:sz w:val="20"/>
                <w:szCs w:val="20"/>
                <w:lang w:val="en-GB"/>
              </w:rPr>
            </w:pPr>
            <w:r w:rsidRPr="00706CB0">
              <w:rPr>
                <w:sz w:val="20"/>
                <w:szCs w:val="20"/>
                <w:lang w:val="en-GB"/>
              </w:rPr>
              <w:t>Start of consultancy</w:t>
            </w:r>
          </w:p>
        </w:tc>
      </w:tr>
      <w:tr w:rsidR="00D7402B" w:rsidRPr="00706CB0" w14:paraId="23DB3E11" w14:textId="77777777" w:rsidTr="002149B7">
        <w:tc>
          <w:tcPr>
            <w:tcW w:w="2405" w:type="dxa"/>
          </w:tcPr>
          <w:p w14:paraId="0992E2FA" w14:textId="77777777" w:rsidR="00D7402B" w:rsidRPr="00706CB0" w:rsidRDefault="00730A48" w:rsidP="002149B7">
            <w:pPr>
              <w:spacing w:before="40" w:after="40"/>
              <w:rPr>
                <w:sz w:val="20"/>
                <w:szCs w:val="20"/>
                <w:lang w:val="en-GB"/>
              </w:rPr>
            </w:pPr>
            <w:r w:rsidRPr="00706CB0">
              <w:rPr>
                <w:sz w:val="20"/>
                <w:szCs w:val="20"/>
                <w:lang w:val="en-GB"/>
              </w:rPr>
              <w:t>September</w:t>
            </w:r>
            <w:r w:rsidR="00D7402B" w:rsidRPr="00706CB0">
              <w:rPr>
                <w:sz w:val="20"/>
                <w:szCs w:val="20"/>
                <w:lang w:val="en-GB"/>
              </w:rPr>
              <w:t xml:space="preserve"> 2016</w:t>
            </w:r>
          </w:p>
        </w:tc>
        <w:tc>
          <w:tcPr>
            <w:tcW w:w="1985" w:type="dxa"/>
          </w:tcPr>
          <w:p w14:paraId="631A475E" w14:textId="77777777" w:rsidR="00D7402B" w:rsidRPr="00706CB0" w:rsidRDefault="00D7402B" w:rsidP="002149B7">
            <w:pPr>
              <w:spacing w:before="40" w:after="40"/>
              <w:rPr>
                <w:sz w:val="20"/>
                <w:szCs w:val="20"/>
                <w:lang w:val="en-GB"/>
              </w:rPr>
            </w:pPr>
          </w:p>
        </w:tc>
        <w:tc>
          <w:tcPr>
            <w:tcW w:w="5238" w:type="dxa"/>
          </w:tcPr>
          <w:p w14:paraId="0230C3FC" w14:textId="77777777" w:rsidR="00D7402B" w:rsidRPr="00706CB0" w:rsidRDefault="00D7402B" w:rsidP="002149B7">
            <w:pPr>
              <w:spacing w:before="40" w:after="40"/>
              <w:rPr>
                <w:sz w:val="20"/>
                <w:szCs w:val="20"/>
                <w:lang w:val="en-GB"/>
              </w:rPr>
            </w:pPr>
            <w:r w:rsidRPr="00706CB0">
              <w:rPr>
                <w:sz w:val="20"/>
                <w:szCs w:val="20"/>
                <w:lang w:val="en-GB"/>
              </w:rPr>
              <w:t>Desk study and review of documents</w:t>
            </w:r>
          </w:p>
        </w:tc>
      </w:tr>
      <w:tr w:rsidR="00D7402B" w:rsidRPr="00706CB0" w14:paraId="31213696" w14:textId="77777777" w:rsidTr="002149B7">
        <w:tc>
          <w:tcPr>
            <w:tcW w:w="2405" w:type="dxa"/>
          </w:tcPr>
          <w:p w14:paraId="2CE8C967" w14:textId="77777777" w:rsidR="00D7402B" w:rsidRPr="00706CB0" w:rsidRDefault="00D7402B" w:rsidP="002149B7">
            <w:pPr>
              <w:spacing w:before="40" w:after="40"/>
              <w:rPr>
                <w:sz w:val="20"/>
                <w:szCs w:val="20"/>
                <w:lang w:val="en-GB"/>
              </w:rPr>
            </w:pPr>
          </w:p>
        </w:tc>
        <w:tc>
          <w:tcPr>
            <w:tcW w:w="1985" w:type="dxa"/>
          </w:tcPr>
          <w:p w14:paraId="798339E0" w14:textId="77777777" w:rsidR="00D7402B" w:rsidRPr="00706CB0" w:rsidRDefault="00730A48" w:rsidP="002149B7">
            <w:pPr>
              <w:spacing w:before="40" w:after="40"/>
              <w:rPr>
                <w:sz w:val="20"/>
                <w:szCs w:val="20"/>
                <w:lang w:val="en-GB"/>
              </w:rPr>
            </w:pPr>
            <w:r w:rsidRPr="00706CB0">
              <w:rPr>
                <w:sz w:val="20"/>
                <w:szCs w:val="20"/>
                <w:lang w:val="en-GB"/>
              </w:rPr>
              <w:t>09.09.2016</w:t>
            </w:r>
          </w:p>
        </w:tc>
        <w:tc>
          <w:tcPr>
            <w:tcW w:w="5238" w:type="dxa"/>
          </w:tcPr>
          <w:p w14:paraId="3A502ED3" w14:textId="77777777" w:rsidR="00D7402B" w:rsidRPr="00706CB0" w:rsidRDefault="00D7402B" w:rsidP="002149B7">
            <w:pPr>
              <w:spacing w:before="40" w:after="40"/>
              <w:rPr>
                <w:sz w:val="20"/>
                <w:szCs w:val="20"/>
                <w:lang w:val="en-GB"/>
              </w:rPr>
            </w:pPr>
            <w:r w:rsidRPr="00706CB0">
              <w:rPr>
                <w:sz w:val="20"/>
                <w:szCs w:val="20"/>
                <w:lang w:val="en-GB"/>
              </w:rPr>
              <w:t>Submission of inception report</w:t>
            </w:r>
          </w:p>
        </w:tc>
      </w:tr>
      <w:tr w:rsidR="00D7402B" w:rsidRPr="00706CB0" w14:paraId="40BAD16B" w14:textId="77777777" w:rsidTr="002149B7">
        <w:tc>
          <w:tcPr>
            <w:tcW w:w="2405" w:type="dxa"/>
          </w:tcPr>
          <w:p w14:paraId="6237DB7A" w14:textId="77777777" w:rsidR="00D7402B" w:rsidRPr="00706CB0" w:rsidRDefault="00D7402B" w:rsidP="002149B7">
            <w:pPr>
              <w:spacing w:before="40" w:after="40"/>
              <w:rPr>
                <w:sz w:val="20"/>
                <w:szCs w:val="20"/>
                <w:lang w:val="en-GB"/>
              </w:rPr>
            </w:pPr>
            <w:r w:rsidRPr="00706CB0">
              <w:rPr>
                <w:sz w:val="20"/>
                <w:szCs w:val="20"/>
                <w:lang w:val="en-GB"/>
              </w:rPr>
              <w:t>October 2016</w:t>
            </w:r>
          </w:p>
        </w:tc>
        <w:tc>
          <w:tcPr>
            <w:tcW w:w="1985" w:type="dxa"/>
          </w:tcPr>
          <w:p w14:paraId="13EBC000" w14:textId="77777777" w:rsidR="00D7402B" w:rsidRPr="00706CB0" w:rsidRDefault="00D7402B" w:rsidP="002149B7">
            <w:pPr>
              <w:spacing w:before="40" w:after="40"/>
              <w:rPr>
                <w:sz w:val="20"/>
                <w:szCs w:val="20"/>
                <w:lang w:val="en-GB"/>
              </w:rPr>
            </w:pPr>
          </w:p>
        </w:tc>
        <w:tc>
          <w:tcPr>
            <w:tcW w:w="5238" w:type="dxa"/>
          </w:tcPr>
          <w:p w14:paraId="563169F5" w14:textId="77777777" w:rsidR="00D7402B" w:rsidRPr="00706CB0" w:rsidRDefault="00D7402B" w:rsidP="002149B7">
            <w:pPr>
              <w:spacing w:before="40" w:after="40"/>
              <w:rPr>
                <w:sz w:val="20"/>
                <w:szCs w:val="20"/>
                <w:lang w:val="en-GB"/>
              </w:rPr>
            </w:pPr>
            <w:r w:rsidRPr="00706CB0">
              <w:rPr>
                <w:sz w:val="20"/>
                <w:szCs w:val="20"/>
                <w:lang w:val="en-GB"/>
              </w:rPr>
              <w:t>Intensive data collection and analysis</w:t>
            </w:r>
          </w:p>
        </w:tc>
      </w:tr>
      <w:tr w:rsidR="00D7402B" w:rsidRPr="00706CB0" w14:paraId="062243D6" w14:textId="77777777" w:rsidTr="002149B7">
        <w:tc>
          <w:tcPr>
            <w:tcW w:w="2405" w:type="dxa"/>
          </w:tcPr>
          <w:p w14:paraId="5A00C18C" w14:textId="77777777" w:rsidR="00D7402B" w:rsidRPr="00706CB0" w:rsidRDefault="00D7402B" w:rsidP="002149B7">
            <w:pPr>
              <w:spacing w:before="40" w:after="40"/>
              <w:rPr>
                <w:sz w:val="20"/>
                <w:szCs w:val="20"/>
                <w:lang w:val="en-GB"/>
              </w:rPr>
            </w:pPr>
            <w:r w:rsidRPr="00706CB0">
              <w:rPr>
                <w:sz w:val="20"/>
                <w:szCs w:val="20"/>
                <w:lang w:val="en-GB"/>
              </w:rPr>
              <w:t>October 2016</w:t>
            </w:r>
          </w:p>
        </w:tc>
        <w:tc>
          <w:tcPr>
            <w:tcW w:w="1985" w:type="dxa"/>
          </w:tcPr>
          <w:p w14:paraId="6A0E033B" w14:textId="77777777" w:rsidR="00D7402B" w:rsidRPr="00706CB0" w:rsidRDefault="00D7402B" w:rsidP="002149B7">
            <w:pPr>
              <w:spacing w:before="40" w:after="40"/>
              <w:rPr>
                <w:sz w:val="20"/>
                <w:szCs w:val="20"/>
                <w:lang w:val="en-GB"/>
              </w:rPr>
            </w:pPr>
          </w:p>
        </w:tc>
        <w:tc>
          <w:tcPr>
            <w:tcW w:w="5238" w:type="dxa"/>
          </w:tcPr>
          <w:p w14:paraId="369ED370" w14:textId="77777777" w:rsidR="00D7402B" w:rsidRPr="00706CB0" w:rsidRDefault="00730A48" w:rsidP="002149B7">
            <w:pPr>
              <w:spacing w:before="40" w:after="40"/>
              <w:rPr>
                <w:sz w:val="20"/>
                <w:szCs w:val="20"/>
                <w:lang w:val="en-GB"/>
              </w:rPr>
            </w:pPr>
            <w:r w:rsidRPr="00706CB0">
              <w:rPr>
                <w:sz w:val="20"/>
                <w:szCs w:val="20"/>
                <w:lang w:val="en-GB"/>
              </w:rPr>
              <w:t>Field visits</w:t>
            </w:r>
            <w:r w:rsidR="00D7402B" w:rsidRPr="00706CB0">
              <w:rPr>
                <w:sz w:val="20"/>
                <w:szCs w:val="20"/>
                <w:lang w:val="en-GB"/>
              </w:rPr>
              <w:t xml:space="preserve"> to three </w:t>
            </w:r>
            <w:r w:rsidRPr="00706CB0">
              <w:rPr>
                <w:sz w:val="20"/>
                <w:szCs w:val="20"/>
                <w:lang w:val="en-GB"/>
              </w:rPr>
              <w:t>sample countries</w:t>
            </w:r>
          </w:p>
        </w:tc>
      </w:tr>
      <w:tr w:rsidR="00730A48" w:rsidRPr="00706CB0" w14:paraId="128A96BE" w14:textId="77777777" w:rsidTr="002149B7">
        <w:tc>
          <w:tcPr>
            <w:tcW w:w="2405" w:type="dxa"/>
          </w:tcPr>
          <w:p w14:paraId="6B911B8B" w14:textId="77777777" w:rsidR="00730A48" w:rsidRPr="00706CB0" w:rsidRDefault="00730A48" w:rsidP="002149B7">
            <w:pPr>
              <w:spacing w:before="40" w:after="40"/>
              <w:rPr>
                <w:sz w:val="20"/>
                <w:szCs w:val="20"/>
                <w:lang w:val="en-GB"/>
              </w:rPr>
            </w:pPr>
          </w:p>
        </w:tc>
        <w:tc>
          <w:tcPr>
            <w:tcW w:w="1985" w:type="dxa"/>
          </w:tcPr>
          <w:p w14:paraId="38DA832E" w14:textId="77777777" w:rsidR="00730A48" w:rsidRPr="00706CB0" w:rsidRDefault="00730A48" w:rsidP="002149B7">
            <w:pPr>
              <w:spacing w:before="40" w:after="40"/>
              <w:rPr>
                <w:sz w:val="20"/>
                <w:szCs w:val="20"/>
                <w:lang w:val="en-GB"/>
              </w:rPr>
            </w:pPr>
            <w:r w:rsidRPr="00706CB0">
              <w:rPr>
                <w:sz w:val="20"/>
                <w:szCs w:val="20"/>
                <w:lang w:val="en-GB"/>
              </w:rPr>
              <w:t>31.10.2016</w:t>
            </w:r>
          </w:p>
        </w:tc>
        <w:tc>
          <w:tcPr>
            <w:tcW w:w="5238" w:type="dxa"/>
          </w:tcPr>
          <w:p w14:paraId="31E753E7" w14:textId="77777777" w:rsidR="00730A48" w:rsidRPr="00706CB0" w:rsidRDefault="00730A48" w:rsidP="002149B7">
            <w:pPr>
              <w:spacing w:before="40" w:after="40"/>
              <w:rPr>
                <w:sz w:val="20"/>
                <w:szCs w:val="20"/>
                <w:lang w:val="en-GB"/>
              </w:rPr>
            </w:pPr>
            <w:r w:rsidRPr="00706CB0">
              <w:rPr>
                <w:sz w:val="20"/>
                <w:szCs w:val="20"/>
                <w:lang w:val="en-GB"/>
              </w:rPr>
              <w:t>Submission and discussion of preliminary findings</w:t>
            </w:r>
          </w:p>
        </w:tc>
      </w:tr>
      <w:tr w:rsidR="00730A48" w:rsidRPr="00706CB0" w14:paraId="2D65F499" w14:textId="77777777" w:rsidTr="002149B7">
        <w:tc>
          <w:tcPr>
            <w:tcW w:w="2405" w:type="dxa"/>
          </w:tcPr>
          <w:p w14:paraId="69C5B7FC" w14:textId="77777777" w:rsidR="00730A48" w:rsidRPr="00706CB0" w:rsidRDefault="00730A48" w:rsidP="002149B7">
            <w:pPr>
              <w:spacing w:before="40" w:after="40"/>
              <w:rPr>
                <w:sz w:val="20"/>
                <w:szCs w:val="20"/>
                <w:lang w:val="en-GB"/>
              </w:rPr>
            </w:pPr>
            <w:r w:rsidRPr="00706CB0">
              <w:rPr>
                <w:sz w:val="20"/>
                <w:szCs w:val="20"/>
                <w:lang w:val="en-GB"/>
              </w:rPr>
              <w:t>November 2016</w:t>
            </w:r>
          </w:p>
        </w:tc>
        <w:tc>
          <w:tcPr>
            <w:tcW w:w="1985" w:type="dxa"/>
          </w:tcPr>
          <w:p w14:paraId="61302AE4" w14:textId="77777777" w:rsidR="00730A48" w:rsidRPr="00706CB0" w:rsidRDefault="00730A48" w:rsidP="002149B7">
            <w:pPr>
              <w:spacing w:before="40" w:after="40"/>
              <w:rPr>
                <w:sz w:val="20"/>
                <w:szCs w:val="20"/>
                <w:lang w:val="en-GB"/>
              </w:rPr>
            </w:pPr>
          </w:p>
        </w:tc>
        <w:tc>
          <w:tcPr>
            <w:tcW w:w="5238" w:type="dxa"/>
          </w:tcPr>
          <w:p w14:paraId="0FEA5FB2" w14:textId="77777777" w:rsidR="00730A48" w:rsidRPr="00706CB0" w:rsidRDefault="00730A48" w:rsidP="002149B7">
            <w:pPr>
              <w:spacing w:before="40" w:after="40"/>
              <w:rPr>
                <w:sz w:val="20"/>
                <w:szCs w:val="20"/>
                <w:lang w:val="en-GB"/>
              </w:rPr>
            </w:pPr>
            <w:r w:rsidRPr="00706CB0">
              <w:rPr>
                <w:sz w:val="20"/>
                <w:szCs w:val="20"/>
                <w:lang w:val="en-GB"/>
              </w:rPr>
              <w:t>Further data collection and analysis</w:t>
            </w:r>
          </w:p>
        </w:tc>
      </w:tr>
      <w:tr w:rsidR="00D7402B" w:rsidRPr="00706CB0" w14:paraId="0DCA4011" w14:textId="77777777" w:rsidTr="002149B7">
        <w:tc>
          <w:tcPr>
            <w:tcW w:w="2405" w:type="dxa"/>
          </w:tcPr>
          <w:p w14:paraId="3B656F9E" w14:textId="77777777" w:rsidR="00D7402B" w:rsidRPr="00706CB0" w:rsidRDefault="00D7402B" w:rsidP="002149B7">
            <w:pPr>
              <w:spacing w:before="40" w:after="40"/>
              <w:rPr>
                <w:sz w:val="20"/>
                <w:szCs w:val="20"/>
                <w:lang w:val="en-GB"/>
              </w:rPr>
            </w:pPr>
            <w:r w:rsidRPr="00706CB0">
              <w:rPr>
                <w:sz w:val="20"/>
                <w:szCs w:val="20"/>
                <w:lang w:val="en-GB"/>
              </w:rPr>
              <w:t>November 2016</w:t>
            </w:r>
          </w:p>
        </w:tc>
        <w:tc>
          <w:tcPr>
            <w:tcW w:w="1985" w:type="dxa"/>
          </w:tcPr>
          <w:p w14:paraId="3D77D8AA" w14:textId="77777777" w:rsidR="00D7402B" w:rsidRPr="00706CB0" w:rsidRDefault="00D7402B" w:rsidP="002149B7">
            <w:pPr>
              <w:spacing w:before="40" w:after="40"/>
              <w:rPr>
                <w:sz w:val="20"/>
                <w:szCs w:val="20"/>
                <w:lang w:val="en-GB"/>
              </w:rPr>
            </w:pPr>
          </w:p>
        </w:tc>
        <w:tc>
          <w:tcPr>
            <w:tcW w:w="5238" w:type="dxa"/>
          </w:tcPr>
          <w:p w14:paraId="39BFCA8C" w14:textId="77777777" w:rsidR="00D7402B" w:rsidRPr="00706CB0" w:rsidRDefault="00D7402B" w:rsidP="002149B7">
            <w:pPr>
              <w:spacing w:before="40" w:after="40"/>
              <w:rPr>
                <w:sz w:val="20"/>
                <w:szCs w:val="20"/>
                <w:lang w:val="en-GB"/>
              </w:rPr>
            </w:pPr>
            <w:r w:rsidRPr="00706CB0">
              <w:rPr>
                <w:sz w:val="20"/>
                <w:szCs w:val="20"/>
                <w:lang w:val="en-GB"/>
              </w:rPr>
              <w:t>Report writing</w:t>
            </w:r>
          </w:p>
        </w:tc>
      </w:tr>
      <w:tr w:rsidR="00BE2BB5" w:rsidRPr="00706CB0" w14:paraId="1C54B807" w14:textId="77777777" w:rsidTr="002149B7">
        <w:tc>
          <w:tcPr>
            <w:tcW w:w="2405" w:type="dxa"/>
          </w:tcPr>
          <w:p w14:paraId="23089289" w14:textId="77777777" w:rsidR="00BE2BB5" w:rsidRPr="00706CB0" w:rsidRDefault="00BE2BB5" w:rsidP="002149B7">
            <w:pPr>
              <w:spacing w:before="40" w:after="40"/>
              <w:rPr>
                <w:sz w:val="20"/>
                <w:szCs w:val="20"/>
                <w:lang w:val="en-GB"/>
              </w:rPr>
            </w:pPr>
          </w:p>
        </w:tc>
        <w:tc>
          <w:tcPr>
            <w:tcW w:w="1985" w:type="dxa"/>
          </w:tcPr>
          <w:p w14:paraId="1AEA5AC1" w14:textId="77777777" w:rsidR="00BE2BB5" w:rsidRPr="00706CB0" w:rsidRDefault="00BE2BB5" w:rsidP="002149B7">
            <w:pPr>
              <w:spacing w:before="40" w:after="40"/>
              <w:rPr>
                <w:sz w:val="20"/>
                <w:szCs w:val="20"/>
                <w:lang w:val="en-GB"/>
              </w:rPr>
            </w:pPr>
            <w:r w:rsidRPr="00706CB0">
              <w:rPr>
                <w:sz w:val="20"/>
                <w:szCs w:val="20"/>
                <w:lang w:val="en-GB"/>
              </w:rPr>
              <w:t>25.11.2016</w:t>
            </w:r>
          </w:p>
        </w:tc>
        <w:tc>
          <w:tcPr>
            <w:tcW w:w="5238" w:type="dxa"/>
          </w:tcPr>
          <w:p w14:paraId="2BA84E72" w14:textId="77777777" w:rsidR="00BE2BB5" w:rsidRPr="00706CB0" w:rsidRDefault="00BE2BB5" w:rsidP="002149B7">
            <w:pPr>
              <w:spacing w:before="40"/>
              <w:rPr>
                <w:sz w:val="20"/>
                <w:szCs w:val="20"/>
                <w:lang w:val="en-GB"/>
              </w:rPr>
            </w:pPr>
            <w:r w:rsidRPr="00706CB0">
              <w:rPr>
                <w:sz w:val="20"/>
                <w:szCs w:val="20"/>
                <w:lang w:val="en-GB"/>
              </w:rPr>
              <w:t>Presentation of 1</w:t>
            </w:r>
            <w:r w:rsidRPr="00706CB0">
              <w:rPr>
                <w:sz w:val="20"/>
                <w:szCs w:val="20"/>
                <w:vertAlign w:val="superscript"/>
                <w:lang w:val="en-GB"/>
              </w:rPr>
              <w:t>st</w:t>
            </w:r>
            <w:r w:rsidRPr="00706CB0">
              <w:rPr>
                <w:sz w:val="20"/>
                <w:szCs w:val="20"/>
                <w:lang w:val="en-GB"/>
              </w:rPr>
              <w:t xml:space="preserve"> draft evaluation report.</w:t>
            </w:r>
          </w:p>
          <w:p w14:paraId="72D624F5" w14:textId="77777777" w:rsidR="00BE2BB5" w:rsidRPr="00706CB0" w:rsidRDefault="00BE2BB5" w:rsidP="002149B7">
            <w:pPr>
              <w:spacing w:after="40"/>
              <w:rPr>
                <w:sz w:val="20"/>
                <w:szCs w:val="20"/>
                <w:lang w:val="en-GB"/>
              </w:rPr>
            </w:pPr>
            <w:r w:rsidRPr="00706CB0">
              <w:rPr>
                <w:sz w:val="20"/>
                <w:szCs w:val="20"/>
                <w:lang w:val="en-GB"/>
              </w:rPr>
              <w:t>Feedback and comments from CKU within a week.</w:t>
            </w:r>
          </w:p>
        </w:tc>
      </w:tr>
      <w:tr w:rsidR="00D7402B" w:rsidRPr="00706CB0" w14:paraId="6D07C42C" w14:textId="77777777" w:rsidTr="002149B7">
        <w:trPr>
          <w:trHeight w:val="465"/>
        </w:trPr>
        <w:tc>
          <w:tcPr>
            <w:tcW w:w="2405" w:type="dxa"/>
          </w:tcPr>
          <w:p w14:paraId="7924A31B" w14:textId="77777777" w:rsidR="00D7402B" w:rsidRPr="00706CB0" w:rsidRDefault="00D7402B" w:rsidP="002149B7">
            <w:pPr>
              <w:spacing w:before="40" w:after="40"/>
              <w:rPr>
                <w:sz w:val="20"/>
                <w:szCs w:val="20"/>
                <w:lang w:val="en-GB"/>
              </w:rPr>
            </w:pPr>
          </w:p>
        </w:tc>
        <w:tc>
          <w:tcPr>
            <w:tcW w:w="1985" w:type="dxa"/>
          </w:tcPr>
          <w:p w14:paraId="0D92365A" w14:textId="77777777" w:rsidR="00D7402B" w:rsidRPr="00706CB0" w:rsidRDefault="00BE2BB5" w:rsidP="002149B7">
            <w:pPr>
              <w:spacing w:before="40" w:after="40"/>
              <w:rPr>
                <w:sz w:val="20"/>
                <w:szCs w:val="20"/>
                <w:lang w:val="en-GB"/>
              </w:rPr>
            </w:pPr>
            <w:r w:rsidRPr="00706CB0">
              <w:rPr>
                <w:sz w:val="20"/>
                <w:szCs w:val="20"/>
                <w:lang w:val="en-GB"/>
              </w:rPr>
              <w:t>09.12.2016</w:t>
            </w:r>
          </w:p>
        </w:tc>
        <w:tc>
          <w:tcPr>
            <w:tcW w:w="5238" w:type="dxa"/>
          </w:tcPr>
          <w:p w14:paraId="3D3BD1C5" w14:textId="77777777" w:rsidR="00BE2BB5" w:rsidRPr="00706CB0" w:rsidRDefault="00BE2BB5" w:rsidP="002149B7">
            <w:pPr>
              <w:spacing w:before="40"/>
              <w:rPr>
                <w:sz w:val="20"/>
                <w:szCs w:val="20"/>
                <w:lang w:val="en-GB"/>
              </w:rPr>
            </w:pPr>
            <w:r w:rsidRPr="00706CB0">
              <w:rPr>
                <w:sz w:val="20"/>
                <w:szCs w:val="20"/>
                <w:lang w:val="en-GB"/>
              </w:rPr>
              <w:t>Presentation of 2</w:t>
            </w:r>
            <w:r w:rsidRPr="00706CB0">
              <w:rPr>
                <w:sz w:val="20"/>
                <w:szCs w:val="20"/>
                <w:vertAlign w:val="superscript"/>
                <w:lang w:val="en-GB"/>
              </w:rPr>
              <w:t>nd</w:t>
            </w:r>
            <w:r w:rsidRPr="00706CB0">
              <w:rPr>
                <w:sz w:val="20"/>
                <w:szCs w:val="20"/>
                <w:lang w:val="en-GB"/>
              </w:rPr>
              <w:t xml:space="preserve"> draft evaluation report.</w:t>
            </w:r>
          </w:p>
          <w:p w14:paraId="3AEB3973" w14:textId="77777777" w:rsidR="00D7402B" w:rsidRPr="00706CB0" w:rsidRDefault="00BE2BB5" w:rsidP="002149B7">
            <w:pPr>
              <w:spacing w:after="40"/>
              <w:rPr>
                <w:sz w:val="20"/>
                <w:szCs w:val="20"/>
                <w:lang w:val="en-GB"/>
              </w:rPr>
            </w:pPr>
            <w:r w:rsidRPr="00706CB0">
              <w:rPr>
                <w:sz w:val="20"/>
                <w:szCs w:val="20"/>
                <w:lang w:val="en-GB"/>
              </w:rPr>
              <w:t>Feedback and comments from CKU within a week.</w:t>
            </w:r>
          </w:p>
        </w:tc>
      </w:tr>
      <w:tr w:rsidR="00D7402B" w:rsidRPr="00706CB0" w14:paraId="7EEDF1F4" w14:textId="77777777" w:rsidTr="002149B7">
        <w:tc>
          <w:tcPr>
            <w:tcW w:w="2405" w:type="dxa"/>
          </w:tcPr>
          <w:p w14:paraId="5DFDAC31" w14:textId="77777777" w:rsidR="00D7402B" w:rsidRPr="00706CB0" w:rsidRDefault="00D7402B" w:rsidP="002149B7">
            <w:pPr>
              <w:spacing w:before="40" w:after="40"/>
              <w:rPr>
                <w:sz w:val="20"/>
                <w:szCs w:val="20"/>
                <w:lang w:val="en-GB"/>
              </w:rPr>
            </w:pPr>
          </w:p>
        </w:tc>
        <w:tc>
          <w:tcPr>
            <w:tcW w:w="1985" w:type="dxa"/>
          </w:tcPr>
          <w:p w14:paraId="67C3B654" w14:textId="77777777" w:rsidR="00D7402B" w:rsidRPr="00706CB0" w:rsidRDefault="00BE2BB5" w:rsidP="002149B7">
            <w:pPr>
              <w:spacing w:before="40" w:after="40"/>
              <w:rPr>
                <w:sz w:val="20"/>
                <w:szCs w:val="20"/>
                <w:lang w:val="en-GB"/>
              </w:rPr>
            </w:pPr>
            <w:r w:rsidRPr="00706CB0">
              <w:rPr>
                <w:sz w:val="20"/>
                <w:szCs w:val="20"/>
                <w:lang w:val="en-GB"/>
              </w:rPr>
              <w:t>31.12.2016</w:t>
            </w:r>
          </w:p>
        </w:tc>
        <w:tc>
          <w:tcPr>
            <w:tcW w:w="5238" w:type="dxa"/>
          </w:tcPr>
          <w:p w14:paraId="5A36AF3F" w14:textId="77777777" w:rsidR="00D7402B" w:rsidRPr="00706CB0" w:rsidRDefault="00D7402B" w:rsidP="002149B7">
            <w:pPr>
              <w:spacing w:before="40" w:after="40"/>
              <w:rPr>
                <w:sz w:val="20"/>
                <w:szCs w:val="20"/>
                <w:lang w:val="en-GB"/>
              </w:rPr>
            </w:pPr>
            <w:r w:rsidRPr="00706CB0">
              <w:rPr>
                <w:sz w:val="20"/>
                <w:szCs w:val="20"/>
                <w:lang w:val="en-GB"/>
              </w:rPr>
              <w:t>Submission of final evaluation report</w:t>
            </w:r>
            <w:r w:rsidR="00BE2BB5" w:rsidRPr="00706CB0">
              <w:rPr>
                <w:sz w:val="20"/>
                <w:szCs w:val="20"/>
                <w:lang w:val="en-GB"/>
              </w:rPr>
              <w:t>.</w:t>
            </w:r>
          </w:p>
        </w:tc>
      </w:tr>
    </w:tbl>
    <w:p w14:paraId="09681754" w14:textId="09D760BC" w:rsidR="003E4DCD" w:rsidRPr="00706CB0" w:rsidRDefault="003E4DCD" w:rsidP="004246DC">
      <w:pPr>
        <w:spacing w:after="120" w:line="240" w:lineRule="auto"/>
        <w:rPr>
          <w:lang w:val="en-GB"/>
        </w:rPr>
      </w:pPr>
    </w:p>
    <w:p w14:paraId="26A6AFE4" w14:textId="77777777" w:rsidR="00DA4C69" w:rsidRPr="00706CB0" w:rsidRDefault="00DA4C69" w:rsidP="004246DC">
      <w:pPr>
        <w:spacing w:after="120" w:line="240" w:lineRule="auto"/>
        <w:rPr>
          <w:lang w:val="en-GB"/>
        </w:rPr>
      </w:pPr>
    </w:p>
    <w:p w14:paraId="48815E5A" w14:textId="687C5B32" w:rsidR="00823721" w:rsidRPr="00706CB0" w:rsidRDefault="00823721" w:rsidP="00823721">
      <w:pPr>
        <w:spacing w:after="120" w:line="240" w:lineRule="auto"/>
        <w:rPr>
          <w:lang w:val="en-GB"/>
        </w:rPr>
      </w:pPr>
      <w:r w:rsidRPr="00706CB0">
        <w:rPr>
          <w:b/>
          <w:lang w:val="en-GB"/>
        </w:rPr>
        <w:t>5. Organisation of the Evaluation</w:t>
      </w:r>
      <w:r w:rsidRPr="00706CB0">
        <w:rPr>
          <w:lang w:val="en-GB"/>
        </w:rPr>
        <w:t>:</w:t>
      </w:r>
    </w:p>
    <w:p w14:paraId="26CE7EA4" w14:textId="13A75FC9" w:rsidR="00823721" w:rsidRPr="00706CB0" w:rsidRDefault="00823721" w:rsidP="004246DC">
      <w:pPr>
        <w:spacing w:after="120" w:line="240" w:lineRule="auto"/>
        <w:rPr>
          <w:lang w:val="en-GB"/>
        </w:rPr>
      </w:pPr>
      <w:r w:rsidRPr="00706CB0">
        <w:rPr>
          <w:lang w:val="en-GB"/>
        </w:rPr>
        <w:t xml:space="preserve">There are three sets of roles in the evaluation process: a) the evaluation management, b) the evaluation team (consultants) and c) the evaluation reference group. </w:t>
      </w:r>
    </w:p>
    <w:p w14:paraId="17125DD1" w14:textId="49DA8803" w:rsidR="00823721" w:rsidRPr="00706CB0" w:rsidRDefault="00823721" w:rsidP="007742AA">
      <w:pPr>
        <w:spacing w:after="0" w:line="240" w:lineRule="auto"/>
        <w:rPr>
          <w:lang w:val="en-GB"/>
        </w:rPr>
      </w:pPr>
    </w:p>
    <w:p w14:paraId="4291408E" w14:textId="77777777" w:rsidR="00E25D41" w:rsidRPr="00706CB0" w:rsidRDefault="00823721" w:rsidP="00DA4C69">
      <w:pPr>
        <w:spacing w:after="120" w:line="240" w:lineRule="auto"/>
        <w:jc w:val="both"/>
        <w:rPr>
          <w:rFonts w:eastAsia="Times New Roman" w:cs="Times New Roman"/>
          <w:i/>
          <w:lang w:val="en-GB"/>
        </w:rPr>
      </w:pPr>
      <w:r w:rsidRPr="00706CB0">
        <w:rPr>
          <w:rFonts w:eastAsia="Times New Roman" w:cs="Times New Roman"/>
          <w:i/>
          <w:lang w:val="en-GB"/>
        </w:rPr>
        <w:t>Ro</w:t>
      </w:r>
      <w:r w:rsidR="00E25D41" w:rsidRPr="00706CB0">
        <w:rPr>
          <w:rFonts w:eastAsia="Times New Roman" w:cs="Times New Roman"/>
          <w:i/>
          <w:lang w:val="en-GB"/>
        </w:rPr>
        <w:t>le of the Evaluation Management:</w:t>
      </w:r>
    </w:p>
    <w:p w14:paraId="1445791F" w14:textId="457CD11F" w:rsidR="00823721" w:rsidRPr="00706CB0" w:rsidRDefault="00823721" w:rsidP="00DA4C69">
      <w:pPr>
        <w:spacing w:after="0" w:line="240" w:lineRule="auto"/>
        <w:jc w:val="both"/>
        <w:rPr>
          <w:rFonts w:eastAsia="Times New Roman" w:cs="Times New Roman"/>
          <w:i/>
          <w:lang w:val="en-GB"/>
        </w:rPr>
      </w:pPr>
      <w:r w:rsidRPr="00706CB0">
        <w:rPr>
          <w:rFonts w:eastAsia="Arial Unicode MS" w:cs="Arial Unicode MS"/>
          <w:color w:val="000000"/>
          <w:u w:color="000000"/>
          <w:lang w:val="en-GB" w:eastAsia="da-DK"/>
        </w:rPr>
        <w:t>The Evaluation will be supervised and managed by CKU. A project coordinator will be appointed by CKU to lead the evaluation process</w:t>
      </w:r>
      <w:r w:rsidR="00DA4C69" w:rsidRPr="00706CB0">
        <w:rPr>
          <w:rFonts w:eastAsia="Arial Unicode MS" w:cs="Arial Unicode MS"/>
          <w:color w:val="000000"/>
          <w:u w:color="000000"/>
          <w:lang w:val="en-GB" w:eastAsia="da-DK"/>
        </w:rPr>
        <w:t>. Together with an external resource person s/he forms the evaluation management</w:t>
      </w:r>
      <w:r w:rsidRPr="00706CB0">
        <w:rPr>
          <w:rFonts w:eastAsia="Arial Unicode MS" w:cs="Arial Unicode MS"/>
          <w:color w:val="000000"/>
          <w:u w:color="000000"/>
          <w:lang w:val="en-GB" w:eastAsia="da-DK"/>
        </w:rPr>
        <w:t xml:space="preserve">. The tasks of the evaluation management are to: </w:t>
      </w:r>
    </w:p>
    <w:p w14:paraId="4844595A" w14:textId="634FEB07" w:rsidR="00823721" w:rsidRPr="00706CB0" w:rsidRDefault="00823721" w:rsidP="00DA4C69">
      <w:pPr>
        <w:numPr>
          <w:ilvl w:val="0"/>
          <w:numId w:val="39"/>
        </w:numPr>
        <w:spacing w:after="0" w:line="240" w:lineRule="auto"/>
        <w:jc w:val="both"/>
        <w:rPr>
          <w:rFonts w:eastAsia="Arial Unicode MS" w:cs="Arial Unicode MS"/>
          <w:color w:val="000000"/>
          <w:u w:color="000000"/>
          <w:lang w:val="en-GB" w:eastAsia="da-DK"/>
        </w:rPr>
      </w:pPr>
      <w:r w:rsidRPr="00706CB0">
        <w:rPr>
          <w:rFonts w:eastAsia="Arial Unicode MS" w:cs="Arial Unicode MS"/>
          <w:color w:val="000000"/>
          <w:u w:color="000000"/>
          <w:lang w:val="en-GB" w:eastAsia="da-DK"/>
        </w:rPr>
        <w:t xml:space="preserve">Participate in the selection of the evaluation team based on received tenders. </w:t>
      </w:r>
    </w:p>
    <w:p w14:paraId="0124A94A" w14:textId="77777777" w:rsidR="00823721" w:rsidRPr="00706CB0" w:rsidRDefault="00823721" w:rsidP="00DA4C69">
      <w:pPr>
        <w:numPr>
          <w:ilvl w:val="0"/>
          <w:numId w:val="39"/>
        </w:numPr>
        <w:spacing w:after="0" w:line="240" w:lineRule="auto"/>
        <w:jc w:val="both"/>
        <w:rPr>
          <w:rFonts w:eastAsia="Arial Unicode MS" w:cs="Arial Unicode MS"/>
          <w:color w:val="000000"/>
          <w:u w:color="000000"/>
          <w:lang w:val="en-GB" w:eastAsia="da-DK"/>
        </w:rPr>
      </w:pPr>
      <w:r w:rsidRPr="00706CB0">
        <w:rPr>
          <w:rFonts w:eastAsia="Arial Unicode MS" w:cs="Arial Unicode MS"/>
          <w:color w:val="000000"/>
          <w:u w:color="000000"/>
          <w:lang w:val="en-GB" w:eastAsia="da-DK"/>
        </w:rPr>
        <w:t xml:space="preserve">Coordinate with all relevant evaluation stakeholders. </w:t>
      </w:r>
    </w:p>
    <w:p w14:paraId="34141D4D" w14:textId="77777777" w:rsidR="00DA4C69" w:rsidRPr="00706CB0" w:rsidRDefault="00823721" w:rsidP="00DA4C69">
      <w:pPr>
        <w:numPr>
          <w:ilvl w:val="0"/>
          <w:numId w:val="39"/>
        </w:numPr>
        <w:spacing w:after="0" w:line="240" w:lineRule="auto"/>
        <w:jc w:val="both"/>
        <w:rPr>
          <w:rFonts w:eastAsia="Arial Unicode MS" w:cs="Arial Unicode MS"/>
          <w:color w:val="000000"/>
          <w:u w:color="000000"/>
          <w:lang w:val="en-GB" w:eastAsia="da-DK"/>
        </w:rPr>
      </w:pPr>
      <w:r w:rsidRPr="00706CB0">
        <w:rPr>
          <w:rFonts w:eastAsia="Arial Unicode MS" w:cs="Arial Unicode MS"/>
          <w:color w:val="000000"/>
          <w:u w:color="000000"/>
          <w:lang w:val="en-GB" w:eastAsia="da-DK"/>
        </w:rPr>
        <w:t xml:space="preserve">Ensure that quality control is carried out throughout the evaluation process. </w:t>
      </w:r>
    </w:p>
    <w:p w14:paraId="0A39F7BA" w14:textId="4F4F544B" w:rsidR="00823721" w:rsidRPr="00706CB0" w:rsidRDefault="00823721" w:rsidP="00DA4C69">
      <w:pPr>
        <w:numPr>
          <w:ilvl w:val="0"/>
          <w:numId w:val="39"/>
        </w:numPr>
        <w:spacing w:after="0" w:line="240" w:lineRule="auto"/>
        <w:jc w:val="both"/>
        <w:rPr>
          <w:rFonts w:eastAsia="Arial Unicode MS" w:cs="Arial Unicode MS"/>
          <w:color w:val="000000"/>
          <w:u w:color="000000"/>
          <w:lang w:val="en-GB" w:eastAsia="da-DK"/>
        </w:rPr>
      </w:pPr>
      <w:r w:rsidRPr="00706CB0">
        <w:rPr>
          <w:rFonts w:eastAsia="Arial Unicode MS" w:cs="Arial Unicode MS"/>
          <w:color w:val="000000"/>
          <w:u w:color="000000"/>
          <w:lang w:val="en-GB" w:eastAsia="da-DK"/>
        </w:rPr>
        <w:t>Provide feedback to the Evaluation Team.</w:t>
      </w:r>
      <w:r w:rsidR="00DA4C69" w:rsidRPr="00706CB0">
        <w:rPr>
          <w:rFonts w:eastAsia="Arial Unicode MS" w:cs="Arial Unicode MS"/>
          <w:color w:val="000000"/>
          <w:u w:color="000000"/>
          <w:lang w:val="en-GB" w:eastAsia="da-DK"/>
        </w:rPr>
        <w:t xml:space="preserve"> Comment on draft versions of the inception report, work plan, progress reports and the evaluation report. Approve final reports.</w:t>
      </w:r>
    </w:p>
    <w:p w14:paraId="18CCC76F" w14:textId="6AAA2A2D" w:rsidR="00823721" w:rsidRPr="00706CB0" w:rsidRDefault="00823721" w:rsidP="00DA4C69">
      <w:pPr>
        <w:numPr>
          <w:ilvl w:val="0"/>
          <w:numId w:val="39"/>
        </w:numPr>
        <w:spacing w:after="0" w:line="240" w:lineRule="auto"/>
        <w:jc w:val="both"/>
        <w:rPr>
          <w:rFonts w:eastAsia="Arial Unicode MS" w:cs="Arial Unicode MS"/>
          <w:color w:val="000000"/>
          <w:u w:color="000000"/>
          <w:lang w:val="en-GB" w:eastAsia="da-DK"/>
        </w:rPr>
      </w:pPr>
      <w:r w:rsidRPr="00706CB0">
        <w:rPr>
          <w:rFonts w:eastAsia="Arial Unicode MS" w:cs="Arial Unicode MS"/>
          <w:color w:val="000000"/>
          <w:u w:color="000000"/>
          <w:lang w:val="en-GB" w:eastAsia="da-DK"/>
        </w:rPr>
        <w:t xml:space="preserve">Organise and chair meetings of </w:t>
      </w:r>
      <w:r w:rsidR="00E25D41" w:rsidRPr="00706CB0">
        <w:rPr>
          <w:rFonts w:eastAsia="Arial Unicode MS" w:cs="Arial Unicode MS"/>
          <w:color w:val="000000"/>
          <w:u w:color="000000"/>
          <w:lang w:val="en-GB" w:eastAsia="da-DK"/>
        </w:rPr>
        <w:t>the Evaluation Reference Group</w:t>
      </w:r>
      <w:r w:rsidRPr="00706CB0">
        <w:rPr>
          <w:rFonts w:eastAsia="Arial Unicode MS" w:cs="Arial Unicode MS"/>
          <w:color w:val="000000"/>
          <w:u w:color="000000"/>
          <w:lang w:val="en-GB" w:eastAsia="da-DK"/>
        </w:rPr>
        <w:t xml:space="preserve">. </w:t>
      </w:r>
    </w:p>
    <w:p w14:paraId="5FA0AF3C" w14:textId="2EFBEA30" w:rsidR="00823721" w:rsidRPr="00706CB0" w:rsidRDefault="00823721" w:rsidP="00DA4C69">
      <w:pPr>
        <w:numPr>
          <w:ilvl w:val="0"/>
          <w:numId w:val="39"/>
        </w:numPr>
        <w:spacing w:after="0" w:line="240" w:lineRule="auto"/>
        <w:jc w:val="both"/>
        <w:rPr>
          <w:lang w:val="en-GB"/>
        </w:rPr>
      </w:pPr>
      <w:r w:rsidRPr="00706CB0">
        <w:rPr>
          <w:rFonts w:eastAsia="Arial Unicode MS" w:cs="Arial Unicode MS"/>
          <w:color w:val="000000"/>
          <w:u w:color="000000"/>
          <w:lang w:val="en-GB" w:eastAsia="da-DK"/>
        </w:rPr>
        <w:t>Advise relevant stakeholders on mat</w:t>
      </w:r>
      <w:r w:rsidR="00E25D41" w:rsidRPr="00706CB0">
        <w:rPr>
          <w:rFonts w:eastAsia="Arial Unicode MS" w:cs="Arial Unicode MS"/>
          <w:color w:val="000000"/>
          <w:u w:color="000000"/>
          <w:lang w:val="en-GB" w:eastAsia="da-DK"/>
        </w:rPr>
        <w:t>ters related to the Evaluation.</w:t>
      </w:r>
    </w:p>
    <w:p w14:paraId="1153F60D" w14:textId="77777777" w:rsidR="00E25D41" w:rsidRPr="00706CB0" w:rsidRDefault="00E25D41" w:rsidP="007742AA">
      <w:pPr>
        <w:spacing w:after="0" w:line="240" w:lineRule="auto"/>
        <w:jc w:val="both"/>
        <w:rPr>
          <w:lang w:val="en-GB"/>
        </w:rPr>
      </w:pPr>
    </w:p>
    <w:p w14:paraId="11D1E56B" w14:textId="22747957" w:rsidR="00E25D41" w:rsidRPr="00706CB0" w:rsidRDefault="00E25D41" w:rsidP="00DA4C69">
      <w:pPr>
        <w:pStyle w:val="Brdtekst"/>
        <w:pBdr>
          <w:top w:val="none" w:sz="0" w:space="0" w:color="auto"/>
          <w:left w:val="none" w:sz="0" w:space="0" w:color="auto"/>
          <w:bottom w:val="none" w:sz="0" w:space="0" w:color="auto"/>
          <w:right w:val="none" w:sz="0" w:space="0" w:color="auto"/>
        </w:pBdr>
        <w:spacing w:after="120"/>
        <w:rPr>
          <w:rFonts w:asciiTheme="minorHAnsi" w:hAnsiTheme="minorHAnsi"/>
          <w:i/>
          <w:sz w:val="22"/>
          <w:szCs w:val="22"/>
          <w:lang w:val="en-GB"/>
        </w:rPr>
      </w:pPr>
      <w:r w:rsidRPr="00706CB0">
        <w:rPr>
          <w:rFonts w:asciiTheme="minorHAnsi" w:hAnsiTheme="minorHAnsi"/>
          <w:i/>
          <w:sz w:val="22"/>
          <w:szCs w:val="22"/>
          <w:lang w:val="en-GB"/>
        </w:rPr>
        <w:t>Role of the Evaluation Team (the Consultant):</w:t>
      </w:r>
    </w:p>
    <w:p w14:paraId="081F37B2" w14:textId="75DCE16A" w:rsidR="00E25D41" w:rsidRPr="00706CB0" w:rsidRDefault="00E25D41" w:rsidP="00DA4C69">
      <w:pPr>
        <w:pStyle w:val="Brdtekst"/>
        <w:pBdr>
          <w:top w:val="none" w:sz="0" w:space="0" w:color="auto"/>
          <w:left w:val="none" w:sz="0" w:space="0" w:color="auto"/>
          <w:bottom w:val="none" w:sz="0" w:space="0" w:color="auto"/>
          <w:right w:val="none" w:sz="0" w:space="0" w:color="auto"/>
        </w:pBdr>
        <w:spacing w:after="0"/>
        <w:rPr>
          <w:rFonts w:asciiTheme="minorHAnsi" w:hAnsiTheme="minorHAnsi"/>
          <w:sz w:val="22"/>
          <w:szCs w:val="22"/>
          <w:lang w:val="en-GB"/>
        </w:rPr>
      </w:pPr>
      <w:r w:rsidRPr="00706CB0">
        <w:rPr>
          <w:rFonts w:asciiTheme="minorHAnsi" w:hAnsiTheme="minorHAnsi"/>
          <w:sz w:val="22"/>
          <w:szCs w:val="22"/>
          <w:lang w:val="en-GB"/>
        </w:rPr>
        <w:t xml:space="preserve">The DAC evaluation principle of independence of the evaluation team will be applied. The evaluation team will carry out the evaluation based on a contract between CKU and the incumbent company/institution. The evaluation team will: </w:t>
      </w:r>
    </w:p>
    <w:p w14:paraId="30A864E2" w14:textId="4708505C" w:rsidR="00E25D41" w:rsidRPr="00706CB0" w:rsidRDefault="00E25D41" w:rsidP="00DA4C69">
      <w:pPr>
        <w:pStyle w:val="Brdtekst"/>
        <w:numPr>
          <w:ilvl w:val="0"/>
          <w:numId w:val="40"/>
        </w:numPr>
        <w:pBdr>
          <w:top w:val="none" w:sz="0" w:space="0" w:color="auto"/>
          <w:left w:val="none" w:sz="0" w:space="0" w:color="auto"/>
          <w:bottom w:val="none" w:sz="0" w:space="0" w:color="auto"/>
          <w:right w:val="none" w:sz="0" w:space="0" w:color="auto"/>
        </w:pBdr>
        <w:spacing w:after="0"/>
        <w:rPr>
          <w:rFonts w:asciiTheme="minorHAnsi" w:hAnsiTheme="minorHAnsi"/>
          <w:sz w:val="22"/>
          <w:szCs w:val="22"/>
          <w:lang w:val="en-GB"/>
        </w:rPr>
      </w:pPr>
      <w:r w:rsidRPr="00706CB0">
        <w:rPr>
          <w:rFonts w:asciiTheme="minorHAnsi" w:hAnsiTheme="minorHAnsi"/>
          <w:sz w:val="22"/>
          <w:szCs w:val="22"/>
          <w:lang w:val="en-GB"/>
        </w:rPr>
        <w:t>Prepare and carry out the evaluation according to the ToR and the approved inception report.</w:t>
      </w:r>
    </w:p>
    <w:p w14:paraId="4732F4F0" w14:textId="47204FA4" w:rsidR="00E25D41" w:rsidRPr="00706CB0" w:rsidRDefault="00E25D41" w:rsidP="00DA4C69">
      <w:pPr>
        <w:pStyle w:val="Brdtekst"/>
        <w:numPr>
          <w:ilvl w:val="0"/>
          <w:numId w:val="40"/>
        </w:numPr>
        <w:pBdr>
          <w:top w:val="none" w:sz="0" w:space="0" w:color="auto"/>
          <w:left w:val="none" w:sz="0" w:space="0" w:color="auto"/>
          <w:bottom w:val="none" w:sz="0" w:space="0" w:color="auto"/>
          <w:right w:val="none" w:sz="0" w:space="0" w:color="auto"/>
        </w:pBdr>
        <w:spacing w:after="0"/>
        <w:rPr>
          <w:rFonts w:asciiTheme="minorHAnsi" w:hAnsiTheme="minorHAnsi"/>
          <w:sz w:val="22"/>
          <w:szCs w:val="22"/>
          <w:lang w:val="en-GB"/>
        </w:rPr>
      </w:pPr>
      <w:r w:rsidRPr="00706CB0">
        <w:rPr>
          <w:rFonts w:asciiTheme="minorHAnsi" w:hAnsiTheme="minorHAnsi"/>
          <w:sz w:val="22"/>
          <w:szCs w:val="22"/>
          <w:lang w:val="en-GB"/>
        </w:rPr>
        <w:t xml:space="preserve">Be responsible to the evaluation management for the findings, conclusions and recommendations of the evaluation. </w:t>
      </w:r>
    </w:p>
    <w:p w14:paraId="08EB75EE" w14:textId="1CE616E6" w:rsidR="00E25D41" w:rsidRPr="00706CB0" w:rsidRDefault="00E25D41" w:rsidP="00DA4C69">
      <w:pPr>
        <w:pStyle w:val="Brdtekst"/>
        <w:numPr>
          <w:ilvl w:val="0"/>
          <w:numId w:val="40"/>
        </w:numPr>
        <w:pBdr>
          <w:top w:val="none" w:sz="0" w:space="0" w:color="auto"/>
          <w:left w:val="none" w:sz="0" w:space="0" w:color="auto"/>
          <w:bottom w:val="none" w:sz="0" w:space="0" w:color="auto"/>
          <w:right w:val="none" w:sz="0" w:space="0" w:color="auto"/>
        </w:pBdr>
        <w:spacing w:after="0"/>
        <w:rPr>
          <w:rFonts w:asciiTheme="minorHAnsi" w:hAnsiTheme="minorHAnsi"/>
          <w:sz w:val="22"/>
          <w:szCs w:val="22"/>
          <w:lang w:val="en-GB"/>
        </w:rPr>
      </w:pPr>
      <w:r w:rsidRPr="00706CB0">
        <w:rPr>
          <w:rFonts w:asciiTheme="minorHAnsi" w:hAnsiTheme="minorHAnsi"/>
          <w:sz w:val="22"/>
          <w:szCs w:val="22"/>
          <w:lang w:val="en-GB"/>
        </w:rPr>
        <w:t xml:space="preserve">Ensure that quality assurance is carried out and documented throughout the evaluation process. </w:t>
      </w:r>
    </w:p>
    <w:p w14:paraId="4C17DDAA" w14:textId="1D8A4595" w:rsidR="00E25D41" w:rsidRPr="00706CB0" w:rsidRDefault="00E25D41" w:rsidP="00DA4C69">
      <w:pPr>
        <w:pStyle w:val="Brdtekst"/>
        <w:numPr>
          <w:ilvl w:val="0"/>
          <w:numId w:val="40"/>
        </w:numPr>
        <w:pBdr>
          <w:top w:val="none" w:sz="0" w:space="0" w:color="auto"/>
          <w:left w:val="none" w:sz="0" w:space="0" w:color="auto"/>
          <w:bottom w:val="none" w:sz="0" w:space="0" w:color="auto"/>
          <w:right w:val="none" w:sz="0" w:space="0" w:color="auto"/>
        </w:pBdr>
        <w:spacing w:after="0"/>
        <w:rPr>
          <w:rFonts w:asciiTheme="minorHAnsi" w:hAnsiTheme="minorHAnsi"/>
          <w:sz w:val="22"/>
          <w:szCs w:val="22"/>
          <w:lang w:val="en-GB"/>
        </w:rPr>
      </w:pPr>
      <w:r w:rsidRPr="00706CB0">
        <w:rPr>
          <w:rFonts w:asciiTheme="minorHAnsi" w:hAnsiTheme="minorHAnsi"/>
          <w:sz w:val="22"/>
          <w:szCs w:val="22"/>
          <w:lang w:val="en-GB"/>
        </w:rPr>
        <w:t xml:space="preserve">Report to the evaluation management regularly about progress of the evaluation. </w:t>
      </w:r>
    </w:p>
    <w:p w14:paraId="4A9F910F" w14:textId="77777777" w:rsidR="00E25D41" w:rsidRPr="00706CB0" w:rsidRDefault="00E25D41" w:rsidP="00DA4C69">
      <w:pPr>
        <w:pStyle w:val="Brdtekst"/>
        <w:numPr>
          <w:ilvl w:val="0"/>
          <w:numId w:val="40"/>
        </w:numPr>
        <w:pBdr>
          <w:top w:val="none" w:sz="0" w:space="0" w:color="auto"/>
          <w:left w:val="none" w:sz="0" w:space="0" w:color="auto"/>
          <w:bottom w:val="none" w:sz="0" w:space="0" w:color="auto"/>
          <w:right w:val="none" w:sz="0" w:space="0" w:color="auto"/>
        </w:pBdr>
        <w:spacing w:after="0"/>
        <w:rPr>
          <w:rFonts w:asciiTheme="minorHAnsi" w:hAnsiTheme="minorHAnsi"/>
          <w:sz w:val="22"/>
          <w:szCs w:val="22"/>
          <w:lang w:val="en-GB"/>
        </w:rPr>
      </w:pPr>
      <w:r w:rsidRPr="00706CB0">
        <w:rPr>
          <w:rFonts w:asciiTheme="minorHAnsi" w:hAnsiTheme="minorHAnsi"/>
          <w:sz w:val="22"/>
          <w:szCs w:val="22"/>
          <w:lang w:val="en-GB"/>
        </w:rPr>
        <w:t>Organise and coordinate meetings and field visits, and other key events, including debriefing session and/or validation workshops in the field visit countries.</w:t>
      </w:r>
    </w:p>
    <w:p w14:paraId="668CBF2B" w14:textId="068878F3" w:rsidR="00E25D41" w:rsidRPr="00706CB0" w:rsidRDefault="00E25D41" w:rsidP="00DA4C69">
      <w:pPr>
        <w:pStyle w:val="Brdtekst"/>
        <w:numPr>
          <w:ilvl w:val="0"/>
          <w:numId w:val="40"/>
        </w:numPr>
        <w:pBdr>
          <w:top w:val="none" w:sz="0" w:space="0" w:color="auto"/>
          <w:left w:val="none" w:sz="0" w:space="0" w:color="auto"/>
          <w:bottom w:val="none" w:sz="0" w:space="0" w:color="auto"/>
          <w:right w:val="none" w:sz="0" w:space="0" w:color="auto"/>
        </w:pBdr>
        <w:spacing w:after="0"/>
        <w:rPr>
          <w:rFonts w:asciiTheme="minorHAnsi" w:hAnsiTheme="minorHAnsi"/>
          <w:sz w:val="22"/>
          <w:szCs w:val="22"/>
          <w:lang w:val="en-GB"/>
        </w:rPr>
      </w:pPr>
      <w:r w:rsidRPr="00706CB0">
        <w:rPr>
          <w:rFonts w:asciiTheme="minorHAnsi" w:hAnsiTheme="minorHAnsi"/>
          <w:sz w:val="22"/>
          <w:szCs w:val="22"/>
          <w:lang w:val="en-GB"/>
        </w:rPr>
        <w:t>The lead consultant is responsible for the reporting, proper quality assurance, and for the organisation of the work of the team. The consultant will participate in all field work and is responsible for the final evaluation product.</w:t>
      </w:r>
    </w:p>
    <w:p w14:paraId="659A0B0E" w14:textId="6DB20902" w:rsidR="00E25D41" w:rsidRPr="00706CB0" w:rsidRDefault="00E25D41" w:rsidP="007742AA">
      <w:pPr>
        <w:pStyle w:val="Brdtekst"/>
        <w:pBdr>
          <w:top w:val="none" w:sz="0" w:space="0" w:color="auto"/>
          <w:left w:val="none" w:sz="0" w:space="0" w:color="auto"/>
          <w:bottom w:val="none" w:sz="0" w:space="0" w:color="auto"/>
          <w:right w:val="none" w:sz="0" w:space="0" w:color="auto"/>
        </w:pBdr>
        <w:spacing w:after="0"/>
        <w:rPr>
          <w:rFonts w:asciiTheme="minorHAnsi" w:hAnsiTheme="minorHAnsi"/>
          <w:sz w:val="22"/>
          <w:szCs w:val="22"/>
          <w:lang w:val="en-GB"/>
        </w:rPr>
      </w:pPr>
    </w:p>
    <w:p w14:paraId="606D36CC" w14:textId="0521ADC3" w:rsidR="00E25D41" w:rsidRPr="00706CB0" w:rsidRDefault="00E25D41" w:rsidP="00DA4C69">
      <w:pPr>
        <w:pStyle w:val="Brdtekst"/>
        <w:pBdr>
          <w:top w:val="none" w:sz="0" w:space="0" w:color="auto"/>
          <w:left w:val="none" w:sz="0" w:space="0" w:color="auto"/>
          <w:bottom w:val="none" w:sz="0" w:space="0" w:color="auto"/>
          <w:right w:val="none" w:sz="0" w:space="0" w:color="auto"/>
        </w:pBdr>
        <w:spacing w:after="120"/>
        <w:rPr>
          <w:rFonts w:asciiTheme="minorHAnsi" w:hAnsiTheme="minorHAnsi"/>
          <w:i/>
          <w:sz w:val="22"/>
          <w:szCs w:val="22"/>
          <w:lang w:val="en-GB"/>
        </w:rPr>
      </w:pPr>
      <w:r w:rsidRPr="00706CB0">
        <w:rPr>
          <w:rFonts w:asciiTheme="minorHAnsi" w:hAnsiTheme="minorHAnsi"/>
          <w:i/>
          <w:sz w:val="22"/>
          <w:szCs w:val="22"/>
          <w:lang w:val="en-GB"/>
        </w:rPr>
        <w:t>Role of the Evaluation Reference Group:</w:t>
      </w:r>
    </w:p>
    <w:p w14:paraId="0F22A22C" w14:textId="71E9FD43" w:rsidR="00E25D41" w:rsidRPr="00706CB0" w:rsidRDefault="00E25D41" w:rsidP="00DA4C69">
      <w:pPr>
        <w:pStyle w:val="Brdtekst"/>
        <w:pBdr>
          <w:top w:val="none" w:sz="0" w:space="0" w:color="auto"/>
          <w:left w:val="none" w:sz="0" w:space="0" w:color="auto"/>
          <w:bottom w:val="none" w:sz="0" w:space="0" w:color="auto"/>
          <w:right w:val="none" w:sz="0" w:space="0" w:color="auto"/>
        </w:pBdr>
        <w:spacing w:after="120"/>
        <w:rPr>
          <w:rFonts w:asciiTheme="minorHAnsi" w:hAnsiTheme="minorHAnsi"/>
          <w:sz w:val="22"/>
          <w:szCs w:val="22"/>
          <w:lang w:val="en-GB"/>
        </w:rPr>
      </w:pPr>
      <w:r w:rsidRPr="00706CB0">
        <w:rPr>
          <w:rFonts w:asciiTheme="minorHAnsi" w:hAnsiTheme="minorHAnsi"/>
          <w:sz w:val="22"/>
          <w:szCs w:val="22"/>
          <w:lang w:val="en-GB"/>
        </w:rPr>
        <w:t>An Evaluation Reference Group (ERG) will be established and chaired by CKU. The mandate of the ERG is to provide advisory support and inputs to the Evaluation, e.g. thro</w:t>
      </w:r>
      <w:r w:rsidR="00DA4C69" w:rsidRPr="00706CB0">
        <w:rPr>
          <w:rFonts w:asciiTheme="minorHAnsi" w:hAnsiTheme="minorHAnsi"/>
          <w:sz w:val="22"/>
          <w:szCs w:val="22"/>
          <w:lang w:val="en-GB"/>
        </w:rPr>
        <w:t xml:space="preserve">ugh comments to draft reports. </w:t>
      </w:r>
    </w:p>
    <w:p w14:paraId="1CE5FAA6" w14:textId="6F0B9F6B" w:rsidR="00823721" w:rsidRPr="00706CB0" w:rsidRDefault="00E25D41" w:rsidP="00DA4C69">
      <w:pPr>
        <w:spacing w:after="120" w:line="240" w:lineRule="auto"/>
        <w:rPr>
          <w:lang w:val="en-GB"/>
        </w:rPr>
      </w:pPr>
      <w:r w:rsidRPr="00706CB0">
        <w:rPr>
          <w:lang w:val="en-GB"/>
        </w:rPr>
        <w:t xml:space="preserve">The members of </w:t>
      </w:r>
      <w:r w:rsidR="00DA4C69" w:rsidRPr="00706CB0">
        <w:rPr>
          <w:lang w:val="en-GB"/>
        </w:rPr>
        <w:t>the ERG include, besides the two persons from the evaluation management:</w:t>
      </w:r>
      <w:r w:rsidRPr="00706CB0">
        <w:rPr>
          <w:lang w:val="en-GB"/>
        </w:rPr>
        <w:t xml:space="preserve"> </w:t>
      </w:r>
      <w:r w:rsidR="00DA4C69" w:rsidRPr="00706CB0">
        <w:rPr>
          <w:lang w:val="en-GB"/>
        </w:rPr>
        <w:t>a</w:t>
      </w:r>
      <w:r w:rsidRPr="00706CB0">
        <w:rPr>
          <w:lang w:val="en-GB"/>
        </w:rPr>
        <w:t xml:space="preserve"> representative from EVAL</w:t>
      </w:r>
      <w:r w:rsidR="005C590E">
        <w:rPr>
          <w:lang w:val="en-GB"/>
        </w:rPr>
        <w:t>, a representative from the board of CKU</w:t>
      </w:r>
      <w:r w:rsidR="00DA4C69" w:rsidRPr="00706CB0">
        <w:rPr>
          <w:lang w:val="en-GB"/>
        </w:rPr>
        <w:t>, and</w:t>
      </w:r>
      <w:r w:rsidRPr="00706CB0">
        <w:rPr>
          <w:lang w:val="en-GB"/>
        </w:rPr>
        <w:t xml:space="preserve"> the acting</w:t>
      </w:r>
      <w:r w:rsidR="00DA4C69" w:rsidRPr="00706CB0">
        <w:rPr>
          <w:lang w:val="en-GB"/>
        </w:rPr>
        <w:t xml:space="preserve"> </w:t>
      </w:r>
      <w:bookmarkStart w:id="0" w:name="_GoBack"/>
      <w:bookmarkEnd w:id="0"/>
      <w:r w:rsidR="00DA4C69" w:rsidRPr="00706CB0">
        <w:rPr>
          <w:lang w:val="en-GB"/>
        </w:rPr>
        <w:t>director of CKU.</w:t>
      </w:r>
    </w:p>
    <w:p w14:paraId="49A8C2F8" w14:textId="60A51BEC" w:rsidR="00823721" w:rsidRPr="00706CB0" w:rsidRDefault="00823721" w:rsidP="004246DC">
      <w:pPr>
        <w:spacing w:after="120" w:line="240" w:lineRule="auto"/>
        <w:rPr>
          <w:color w:val="FF0000"/>
          <w:lang w:val="en-GB"/>
        </w:rPr>
      </w:pPr>
    </w:p>
    <w:p w14:paraId="18D676FC" w14:textId="0856B2CB" w:rsidR="003E4DCD" w:rsidRPr="00706CB0" w:rsidRDefault="006F16D1" w:rsidP="004246DC">
      <w:pPr>
        <w:spacing w:after="120" w:line="240" w:lineRule="auto"/>
        <w:rPr>
          <w:lang w:val="en-GB"/>
        </w:rPr>
      </w:pPr>
      <w:r w:rsidRPr="00706CB0">
        <w:rPr>
          <w:b/>
          <w:lang w:val="en-GB"/>
        </w:rPr>
        <w:t>6. Composition and Q</w:t>
      </w:r>
      <w:r w:rsidR="00DA4C69" w:rsidRPr="00706CB0">
        <w:rPr>
          <w:b/>
          <w:lang w:val="en-GB"/>
        </w:rPr>
        <w:t xml:space="preserve">ualifications of the Evaluation </w:t>
      </w:r>
      <w:r w:rsidRPr="00706CB0">
        <w:rPr>
          <w:b/>
          <w:lang w:val="en-GB"/>
        </w:rPr>
        <w:t>T</w:t>
      </w:r>
      <w:r w:rsidR="00DA4C69" w:rsidRPr="00706CB0">
        <w:rPr>
          <w:b/>
          <w:lang w:val="en-GB"/>
        </w:rPr>
        <w:t>eam</w:t>
      </w:r>
      <w:r w:rsidR="003E4DCD" w:rsidRPr="00706CB0">
        <w:rPr>
          <w:lang w:val="en-GB"/>
        </w:rPr>
        <w:t>:</w:t>
      </w:r>
    </w:p>
    <w:p w14:paraId="769F4F53" w14:textId="7849D96B" w:rsidR="003E4DCD" w:rsidRPr="00706CB0" w:rsidRDefault="003E4DCD" w:rsidP="004246DC">
      <w:pPr>
        <w:spacing w:after="120" w:line="240" w:lineRule="auto"/>
        <w:rPr>
          <w:lang w:val="en-GB"/>
        </w:rPr>
      </w:pPr>
      <w:r w:rsidRPr="00706CB0">
        <w:rPr>
          <w:lang w:val="en-GB"/>
        </w:rPr>
        <w:t xml:space="preserve">The evaluation will be conducted by </w:t>
      </w:r>
      <w:r w:rsidR="00EC7068" w:rsidRPr="00706CB0">
        <w:rPr>
          <w:lang w:val="en-GB"/>
        </w:rPr>
        <w:t>one</w:t>
      </w:r>
      <w:r w:rsidRPr="00706CB0">
        <w:rPr>
          <w:lang w:val="en-GB"/>
        </w:rPr>
        <w:t xml:space="preserve"> international consultant with substantive knowledge of art and culture in international development. The consultant need</w:t>
      </w:r>
      <w:r w:rsidR="00025CE5" w:rsidRPr="00706CB0">
        <w:rPr>
          <w:lang w:val="en-GB"/>
        </w:rPr>
        <w:t>s</w:t>
      </w:r>
      <w:r w:rsidRPr="00706CB0">
        <w:rPr>
          <w:lang w:val="en-GB"/>
        </w:rPr>
        <w:t xml:space="preserve"> clearly demonstrated expertise and experience in conducting evaluations and impact assessments using a variety of quantitative and qualitative methods in the field of art/culture and development.</w:t>
      </w:r>
    </w:p>
    <w:p w14:paraId="58B322AE" w14:textId="77777777" w:rsidR="00EC7068" w:rsidRPr="00706CB0" w:rsidRDefault="00EC7068" w:rsidP="004246DC">
      <w:pPr>
        <w:spacing w:after="120" w:line="240" w:lineRule="auto"/>
        <w:rPr>
          <w:lang w:val="en-GB"/>
        </w:rPr>
      </w:pPr>
      <w:r w:rsidRPr="00706CB0">
        <w:rPr>
          <w:lang w:val="en-GB"/>
        </w:rPr>
        <w:t xml:space="preserve">In addition to the international consultant, one national consultant shall be hired in each sample country of the evaluation.  </w:t>
      </w:r>
    </w:p>
    <w:p w14:paraId="6B464D0B" w14:textId="77777777" w:rsidR="002149B7" w:rsidRPr="00706CB0" w:rsidRDefault="002149B7" w:rsidP="007742AA">
      <w:pPr>
        <w:spacing w:after="0" w:line="240" w:lineRule="auto"/>
        <w:rPr>
          <w:lang w:val="en-GB"/>
        </w:rPr>
      </w:pPr>
    </w:p>
    <w:p w14:paraId="0306850D" w14:textId="77777777" w:rsidR="009C4F1B" w:rsidRPr="00706CB0" w:rsidRDefault="009C4F1B" w:rsidP="004246DC">
      <w:pPr>
        <w:spacing w:after="120" w:line="240" w:lineRule="auto"/>
        <w:rPr>
          <w:lang w:val="en-GB"/>
        </w:rPr>
      </w:pPr>
      <w:r w:rsidRPr="00706CB0">
        <w:rPr>
          <w:lang w:val="en-GB"/>
        </w:rPr>
        <w:t>The task adds up the following number of workdays for the</w:t>
      </w:r>
      <w:r w:rsidR="00EC7068" w:rsidRPr="00706CB0">
        <w:rPr>
          <w:lang w:val="en-GB"/>
        </w:rPr>
        <w:t xml:space="preserve"> </w:t>
      </w:r>
      <w:r w:rsidR="00EC7068" w:rsidRPr="00706CB0">
        <w:rPr>
          <w:i/>
          <w:lang w:val="en-GB"/>
        </w:rPr>
        <w:t>international</w:t>
      </w:r>
      <w:r w:rsidRPr="00706CB0">
        <w:rPr>
          <w:i/>
          <w:lang w:val="en-GB"/>
        </w:rPr>
        <w:t xml:space="preserve"> consultant</w:t>
      </w:r>
      <w:r w:rsidRPr="00706CB0">
        <w:rPr>
          <w:lang w:val="en-GB"/>
        </w:rPr>
        <w:t>:</w:t>
      </w:r>
    </w:p>
    <w:p w14:paraId="2C2B067C" w14:textId="77777777" w:rsidR="009C4F1B" w:rsidRPr="00706CB0" w:rsidRDefault="009C4F1B" w:rsidP="004246DC">
      <w:pPr>
        <w:pStyle w:val="Listeafsnit"/>
        <w:numPr>
          <w:ilvl w:val="0"/>
          <w:numId w:val="7"/>
        </w:numPr>
        <w:spacing w:after="120" w:line="240" w:lineRule="auto"/>
        <w:rPr>
          <w:lang w:val="en-GB"/>
        </w:rPr>
      </w:pPr>
      <w:r w:rsidRPr="00706CB0">
        <w:rPr>
          <w:lang w:val="en-GB"/>
        </w:rPr>
        <w:t>8 consultancy days for desk study and review of documents</w:t>
      </w:r>
    </w:p>
    <w:p w14:paraId="09A496D3" w14:textId="77777777" w:rsidR="009C4F1B" w:rsidRPr="00706CB0" w:rsidRDefault="009C4F1B" w:rsidP="004246DC">
      <w:pPr>
        <w:pStyle w:val="Listeafsnit"/>
        <w:numPr>
          <w:ilvl w:val="0"/>
          <w:numId w:val="7"/>
        </w:numPr>
        <w:spacing w:after="120" w:line="240" w:lineRule="auto"/>
        <w:rPr>
          <w:lang w:val="en-GB"/>
        </w:rPr>
      </w:pPr>
      <w:r w:rsidRPr="00706CB0">
        <w:rPr>
          <w:lang w:val="en-GB"/>
        </w:rPr>
        <w:t>2 consultancy days of preparation of inception report</w:t>
      </w:r>
    </w:p>
    <w:p w14:paraId="0A3AC39E" w14:textId="77777777" w:rsidR="009C4F1B" w:rsidRPr="00706CB0" w:rsidRDefault="009C4F1B" w:rsidP="004246DC">
      <w:pPr>
        <w:pStyle w:val="Listeafsnit"/>
        <w:numPr>
          <w:ilvl w:val="0"/>
          <w:numId w:val="7"/>
        </w:numPr>
        <w:spacing w:after="120" w:line="240" w:lineRule="auto"/>
        <w:rPr>
          <w:lang w:val="en-GB"/>
        </w:rPr>
      </w:pPr>
      <w:r w:rsidRPr="00706CB0">
        <w:rPr>
          <w:lang w:val="en-GB"/>
        </w:rPr>
        <w:t>28 consultancy days for data collection and analysis (including 5 days per field trip x 3 countries)</w:t>
      </w:r>
    </w:p>
    <w:p w14:paraId="0B6F4943" w14:textId="77777777" w:rsidR="009C4F1B" w:rsidRPr="00706CB0" w:rsidRDefault="009C4F1B" w:rsidP="004246DC">
      <w:pPr>
        <w:pStyle w:val="Listeafsnit"/>
        <w:numPr>
          <w:ilvl w:val="0"/>
          <w:numId w:val="7"/>
        </w:numPr>
        <w:spacing w:after="120" w:line="240" w:lineRule="auto"/>
        <w:rPr>
          <w:lang w:val="en-GB"/>
        </w:rPr>
      </w:pPr>
      <w:r w:rsidRPr="00706CB0">
        <w:rPr>
          <w:lang w:val="en-GB"/>
        </w:rPr>
        <w:t xml:space="preserve">10 consultancy days of report writing </w:t>
      </w:r>
    </w:p>
    <w:p w14:paraId="475A400B" w14:textId="77777777" w:rsidR="009C4F1B" w:rsidRPr="00706CB0" w:rsidRDefault="009C4F1B" w:rsidP="004246DC">
      <w:pPr>
        <w:pStyle w:val="Listeafsnit"/>
        <w:numPr>
          <w:ilvl w:val="0"/>
          <w:numId w:val="7"/>
        </w:numPr>
        <w:spacing w:after="120" w:line="240" w:lineRule="auto"/>
        <w:rPr>
          <w:lang w:val="en-GB"/>
        </w:rPr>
      </w:pPr>
      <w:r w:rsidRPr="00706CB0">
        <w:rPr>
          <w:lang w:val="en-GB"/>
        </w:rPr>
        <w:t>2 consultancy days of completion of the final report after receiving comments on draft report</w:t>
      </w:r>
    </w:p>
    <w:p w14:paraId="6C57C261" w14:textId="77777777" w:rsidR="009C4F1B" w:rsidRPr="00706CB0" w:rsidRDefault="009C4F1B" w:rsidP="004246DC">
      <w:pPr>
        <w:spacing w:after="120" w:line="240" w:lineRule="auto"/>
        <w:rPr>
          <w:lang w:val="en-GB"/>
        </w:rPr>
      </w:pPr>
      <w:r w:rsidRPr="00706CB0">
        <w:rPr>
          <w:lang w:val="en-GB"/>
        </w:rPr>
        <w:t xml:space="preserve">This makes a total of 50 consultancy days for </w:t>
      </w:r>
      <w:r w:rsidR="00EC7068" w:rsidRPr="00706CB0">
        <w:rPr>
          <w:lang w:val="en-GB"/>
        </w:rPr>
        <w:t>the international consultant</w:t>
      </w:r>
      <w:r w:rsidRPr="00706CB0">
        <w:rPr>
          <w:lang w:val="en-GB"/>
        </w:rPr>
        <w:t>.</w:t>
      </w:r>
    </w:p>
    <w:p w14:paraId="7DC90203" w14:textId="77777777" w:rsidR="00EC7068" w:rsidRPr="00706CB0" w:rsidRDefault="00EC7068" w:rsidP="004246DC">
      <w:pPr>
        <w:spacing w:after="120" w:line="240" w:lineRule="auto"/>
        <w:rPr>
          <w:lang w:val="en-GB"/>
        </w:rPr>
      </w:pPr>
      <w:r w:rsidRPr="00706CB0">
        <w:rPr>
          <w:lang w:val="en-GB"/>
        </w:rPr>
        <w:t xml:space="preserve">Each </w:t>
      </w:r>
      <w:r w:rsidRPr="00706CB0">
        <w:rPr>
          <w:i/>
          <w:lang w:val="en-GB"/>
        </w:rPr>
        <w:t>national consultant</w:t>
      </w:r>
      <w:r w:rsidRPr="00706CB0">
        <w:rPr>
          <w:lang w:val="en-GB"/>
        </w:rPr>
        <w:t xml:space="preserve"> shall be hired for </w:t>
      </w:r>
      <w:r w:rsidR="002149B7" w:rsidRPr="00706CB0">
        <w:rPr>
          <w:lang w:val="en-GB"/>
        </w:rPr>
        <w:t>8</w:t>
      </w:r>
      <w:r w:rsidRPr="00706CB0">
        <w:rPr>
          <w:lang w:val="en-GB"/>
        </w:rPr>
        <w:t xml:space="preserve"> days, covering </w:t>
      </w:r>
    </w:p>
    <w:p w14:paraId="235F3A2F" w14:textId="77777777" w:rsidR="00EC7068" w:rsidRPr="00706CB0" w:rsidRDefault="00EC7068" w:rsidP="00EC7068">
      <w:pPr>
        <w:pStyle w:val="Listeafsnit"/>
        <w:numPr>
          <w:ilvl w:val="0"/>
          <w:numId w:val="30"/>
        </w:numPr>
        <w:spacing w:after="120" w:line="240" w:lineRule="auto"/>
        <w:rPr>
          <w:lang w:val="en-GB"/>
        </w:rPr>
      </w:pPr>
      <w:r w:rsidRPr="00706CB0">
        <w:rPr>
          <w:lang w:val="en-GB"/>
        </w:rPr>
        <w:t xml:space="preserve">2 days of desk study and review of documents, </w:t>
      </w:r>
    </w:p>
    <w:p w14:paraId="1747D1C0" w14:textId="77777777" w:rsidR="00EC7068" w:rsidRPr="00706CB0" w:rsidRDefault="00EC7068" w:rsidP="00EC7068">
      <w:pPr>
        <w:pStyle w:val="Listeafsnit"/>
        <w:numPr>
          <w:ilvl w:val="0"/>
          <w:numId w:val="30"/>
        </w:numPr>
        <w:spacing w:after="120" w:line="240" w:lineRule="auto"/>
        <w:rPr>
          <w:lang w:val="en-GB"/>
        </w:rPr>
      </w:pPr>
      <w:r w:rsidRPr="00706CB0">
        <w:rPr>
          <w:lang w:val="en-GB"/>
        </w:rPr>
        <w:t>4 days of data collection during the mission of the international consultant,</w:t>
      </w:r>
    </w:p>
    <w:p w14:paraId="394680D3" w14:textId="77777777" w:rsidR="00EC7068" w:rsidRPr="00706CB0" w:rsidRDefault="002149B7" w:rsidP="00EC7068">
      <w:pPr>
        <w:pStyle w:val="Listeafsnit"/>
        <w:numPr>
          <w:ilvl w:val="0"/>
          <w:numId w:val="30"/>
        </w:numPr>
        <w:spacing w:after="120" w:line="240" w:lineRule="auto"/>
        <w:rPr>
          <w:lang w:val="en-GB"/>
        </w:rPr>
      </w:pPr>
      <w:r w:rsidRPr="00706CB0">
        <w:rPr>
          <w:lang w:val="en-GB"/>
        </w:rPr>
        <w:t>2</w:t>
      </w:r>
      <w:r w:rsidR="00EC7068" w:rsidRPr="00706CB0">
        <w:rPr>
          <w:lang w:val="en-GB"/>
        </w:rPr>
        <w:t xml:space="preserve"> days of formulation </w:t>
      </w:r>
      <w:r w:rsidRPr="00706CB0">
        <w:rPr>
          <w:lang w:val="en-GB"/>
        </w:rPr>
        <w:t>of meeting minutes and debriefing note with preliminary findings</w:t>
      </w:r>
    </w:p>
    <w:p w14:paraId="60C902D4" w14:textId="77777777" w:rsidR="002149B7" w:rsidRPr="00706CB0" w:rsidRDefault="002149B7" w:rsidP="004246DC">
      <w:pPr>
        <w:spacing w:after="120" w:line="240" w:lineRule="auto"/>
        <w:rPr>
          <w:lang w:val="en-GB"/>
        </w:rPr>
      </w:pPr>
      <w:r w:rsidRPr="00706CB0">
        <w:rPr>
          <w:lang w:val="en-GB"/>
        </w:rPr>
        <w:t>This makes a total of 24 consultancy days for the national consultants (3 countries x 8 days)</w:t>
      </w:r>
    </w:p>
    <w:p w14:paraId="1A7E799A" w14:textId="77777777" w:rsidR="002149B7" w:rsidRPr="00706CB0" w:rsidRDefault="002149B7" w:rsidP="004246DC">
      <w:pPr>
        <w:spacing w:after="120" w:line="240" w:lineRule="auto"/>
        <w:rPr>
          <w:lang w:val="en-GB"/>
        </w:rPr>
      </w:pPr>
    </w:p>
    <w:p w14:paraId="3B39C20B" w14:textId="314DF96E" w:rsidR="003E4DCD" w:rsidRPr="00706CB0" w:rsidRDefault="009C4F1B" w:rsidP="004246DC">
      <w:pPr>
        <w:spacing w:after="120" w:line="240" w:lineRule="auto"/>
        <w:rPr>
          <w:lang w:val="en-GB"/>
        </w:rPr>
      </w:pPr>
      <w:r w:rsidRPr="00706CB0">
        <w:rPr>
          <w:lang w:val="en-GB"/>
        </w:rPr>
        <w:lastRenderedPageBreak/>
        <w:t xml:space="preserve">The maximum budget of the engagement of the consultant is DKK </w:t>
      </w:r>
      <w:r w:rsidR="001343EB" w:rsidRPr="00706CB0">
        <w:rPr>
          <w:lang w:val="en-GB"/>
        </w:rPr>
        <w:t>60</w:t>
      </w:r>
      <w:r w:rsidRPr="00706CB0">
        <w:rPr>
          <w:lang w:val="en-GB"/>
        </w:rPr>
        <w:t>0.000 covering all costs related to the consultancy (fee</w:t>
      </w:r>
      <w:r w:rsidR="002149B7" w:rsidRPr="00706CB0">
        <w:rPr>
          <w:lang w:val="en-GB"/>
        </w:rPr>
        <w:t>s</w:t>
      </w:r>
      <w:r w:rsidRPr="00706CB0">
        <w:rPr>
          <w:lang w:val="en-GB"/>
        </w:rPr>
        <w:t xml:space="preserve"> and field trips of the</w:t>
      </w:r>
      <w:r w:rsidR="002149B7" w:rsidRPr="00706CB0">
        <w:rPr>
          <w:lang w:val="en-GB"/>
        </w:rPr>
        <w:t xml:space="preserve"> international and national</w:t>
      </w:r>
      <w:r w:rsidRPr="00706CB0">
        <w:rPr>
          <w:lang w:val="en-GB"/>
        </w:rPr>
        <w:t xml:space="preserve"> consultant</w:t>
      </w:r>
      <w:r w:rsidR="002149B7" w:rsidRPr="00706CB0">
        <w:rPr>
          <w:lang w:val="en-GB"/>
        </w:rPr>
        <w:t>s</w:t>
      </w:r>
      <w:r w:rsidRPr="00706CB0">
        <w:rPr>
          <w:lang w:val="en-GB"/>
        </w:rPr>
        <w:t>). The overall budget for the entire evaluatio</w:t>
      </w:r>
      <w:r w:rsidR="002149B7" w:rsidRPr="00706CB0">
        <w:rPr>
          <w:lang w:val="en-GB"/>
        </w:rPr>
        <w:t>n</w:t>
      </w:r>
      <w:r w:rsidRPr="00706CB0">
        <w:rPr>
          <w:lang w:val="en-GB"/>
        </w:rPr>
        <w:t xml:space="preserve"> is annexed to this ToR</w:t>
      </w:r>
      <w:r w:rsidR="002149B7" w:rsidRPr="00706CB0">
        <w:rPr>
          <w:lang w:val="en-GB"/>
        </w:rPr>
        <w:t>.</w:t>
      </w:r>
      <w:r w:rsidRPr="00706CB0">
        <w:rPr>
          <w:lang w:val="en-GB"/>
        </w:rPr>
        <w:br/>
      </w:r>
    </w:p>
    <w:p w14:paraId="31D5F87D" w14:textId="1C725085" w:rsidR="003E4DCD" w:rsidRPr="00706CB0" w:rsidRDefault="00DA4C69" w:rsidP="004246DC">
      <w:pPr>
        <w:spacing w:after="120" w:line="240" w:lineRule="auto"/>
        <w:rPr>
          <w:b/>
          <w:lang w:val="en-GB"/>
        </w:rPr>
      </w:pPr>
      <w:r w:rsidRPr="00706CB0">
        <w:rPr>
          <w:b/>
          <w:lang w:val="en-GB"/>
        </w:rPr>
        <w:t>7</w:t>
      </w:r>
      <w:r w:rsidR="009C4F1B" w:rsidRPr="00706CB0">
        <w:rPr>
          <w:b/>
          <w:lang w:val="en-GB"/>
        </w:rPr>
        <w:t xml:space="preserve">. </w:t>
      </w:r>
      <w:r w:rsidR="003E4DCD" w:rsidRPr="00706CB0">
        <w:rPr>
          <w:b/>
          <w:lang w:val="en-GB"/>
        </w:rPr>
        <w:t>List of</w:t>
      </w:r>
      <w:r w:rsidR="00EE1AFB" w:rsidRPr="00706CB0">
        <w:rPr>
          <w:b/>
          <w:lang w:val="en-GB"/>
        </w:rPr>
        <w:t xml:space="preserve"> </w:t>
      </w:r>
      <w:r w:rsidR="006F16D1" w:rsidRPr="00706CB0">
        <w:rPr>
          <w:b/>
          <w:lang w:val="en-GB"/>
        </w:rPr>
        <w:t>K</w:t>
      </w:r>
      <w:r w:rsidR="00EE1AFB" w:rsidRPr="00706CB0">
        <w:rPr>
          <w:b/>
          <w:lang w:val="en-GB"/>
        </w:rPr>
        <w:t>ey</w:t>
      </w:r>
      <w:r w:rsidR="003E4DCD" w:rsidRPr="00706CB0">
        <w:rPr>
          <w:b/>
          <w:lang w:val="en-GB"/>
        </w:rPr>
        <w:t xml:space="preserve"> </w:t>
      </w:r>
      <w:r w:rsidR="006F16D1" w:rsidRPr="00706CB0">
        <w:rPr>
          <w:b/>
          <w:lang w:val="en-GB"/>
        </w:rPr>
        <w:t>D</w:t>
      </w:r>
      <w:r w:rsidR="003E4DCD" w:rsidRPr="00706CB0">
        <w:rPr>
          <w:b/>
          <w:lang w:val="en-GB"/>
        </w:rPr>
        <w:t>ocuments:</w:t>
      </w:r>
    </w:p>
    <w:p w14:paraId="78AAA634" w14:textId="77777777" w:rsidR="00EE1AFB" w:rsidRPr="00706CB0" w:rsidRDefault="00EE1AFB" w:rsidP="004246DC">
      <w:pPr>
        <w:pStyle w:val="FormateretHTML"/>
        <w:numPr>
          <w:ilvl w:val="0"/>
          <w:numId w:val="16"/>
        </w:numPr>
        <w:rPr>
          <w:rFonts w:asciiTheme="minorHAnsi" w:hAnsiTheme="minorHAnsi"/>
          <w:b/>
          <w:bCs/>
          <w:sz w:val="22"/>
          <w:szCs w:val="22"/>
          <w:lang w:val="en-GB"/>
        </w:rPr>
      </w:pPr>
      <w:r w:rsidRPr="00706CB0">
        <w:rPr>
          <w:rFonts w:asciiTheme="minorHAnsi" w:hAnsiTheme="minorHAnsi"/>
          <w:sz w:val="22"/>
          <w:szCs w:val="22"/>
          <w:lang w:val="en-GB"/>
        </w:rPr>
        <w:t>Strategy for Culture and Development, Danida, MFA, 2002</w:t>
      </w:r>
    </w:p>
    <w:p w14:paraId="45B70E14" w14:textId="77777777" w:rsidR="00EE1AFB" w:rsidRPr="00706CB0" w:rsidRDefault="00EE1AFB" w:rsidP="004246DC">
      <w:pPr>
        <w:pStyle w:val="Listeafsnit"/>
        <w:numPr>
          <w:ilvl w:val="0"/>
          <w:numId w:val="9"/>
        </w:numPr>
        <w:spacing w:after="120" w:line="240" w:lineRule="auto"/>
        <w:rPr>
          <w:lang w:val="en-GB"/>
        </w:rPr>
      </w:pPr>
      <w:r w:rsidRPr="00706CB0">
        <w:rPr>
          <w:lang w:val="en-GB"/>
        </w:rPr>
        <w:t>Strategic framework for culture and development, The Right to Art and Culture, 2013</w:t>
      </w:r>
    </w:p>
    <w:p w14:paraId="1AA3F267" w14:textId="77777777" w:rsidR="00EE1AFB" w:rsidRPr="00706CB0" w:rsidRDefault="00EE1AFB" w:rsidP="004246DC">
      <w:pPr>
        <w:pStyle w:val="Listeafsnit"/>
        <w:numPr>
          <w:ilvl w:val="0"/>
          <w:numId w:val="9"/>
        </w:numPr>
        <w:spacing w:after="120" w:line="240" w:lineRule="auto"/>
        <w:rPr>
          <w:lang w:val="en-GB"/>
        </w:rPr>
      </w:pPr>
      <w:r w:rsidRPr="00706CB0">
        <w:rPr>
          <w:lang w:val="en-GB"/>
        </w:rPr>
        <w:t>MFA administrative Guidelines for CKU, 2013</w:t>
      </w:r>
    </w:p>
    <w:p w14:paraId="1E972ACB" w14:textId="77777777" w:rsidR="00EE1AFB" w:rsidRPr="00706CB0" w:rsidRDefault="00EE1AFB" w:rsidP="004246DC">
      <w:pPr>
        <w:pStyle w:val="Listeafsnit"/>
        <w:numPr>
          <w:ilvl w:val="0"/>
          <w:numId w:val="9"/>
        </w:numPr>
        <w:spacing w:after="120" w:line="240" w:lineRule="auto"/>
        <w:rPr>
          <w:lang w:val="en-GB"/>
        </w:rPr>
      </w:pPr>
      <w:r w:rsidRPr="00706CB0">
        <w:rPr>
          <w:lang w:val="en-GB"/>
        </w:rPr>
        <w:t>CKU programme manual and templates</w:t>
      </w:r>
    </w:p>
    <w:p w14:paraId="28516B44" w14:textId="77777777" w:rsidR="003E4DCD" w:rsidRPr="00706CB0" w:rsidRDefault="003E4DCD" w:rsidP="004246DC">
      <w:pPr>
        <w:pStyle w:val="Listeafsnit"/>
        <w:numPr>
          <w:ilvl w:val="0"/>
          <w:numId w:val="9"/>
        </w:numPr>
        <w:spacing w:after="120" w:line="240" w:lineRule="auto"/>
        <w:rPr>
          <w:lang w:val="en-GB"/>
        </w:rPr>
      </w:pPr>
      <w:r w:rsidRPr="00706CB0">
        <w:rPr>
          <w:lang w:val="en-GB"/>
        </w:rPr>
        <w:t>Overview of programmes and projects</w:t>
      </w:r>
    </w:p>
    <w:p w14:paraId="568CC80C" w14:textId="77777777" w:rsidR="003E4DCD" w:rsidRPr="00706CB0" w:rsidRDefault="003E4DCD" w:rsidP="004246DC">
      <w:pPr>
        <w:pStyle w:val="Listeafsnit"/>
        <w:numPr>
          <w:ilvl w:val="0"/>
          <w:numId w:val="9"/>
        </w:numPr>
        <w:spacing w:after="120" w:line="240" w:lineRule="auto"/>
        <w:rPr>
          <w:lang w:val="en-GB"/>
        </w:rPr>
      </w:pPr>
      <w:r w:rsidRPr="00706CB0">
        <w:rPr>
          <w:lang w:val="en-GB"/>
        </w:rPr>
        <w:t>Rights based country analysis documents and country programme documents</w:t>
      </w:r>
    </w:p>
    <w:p w14:paraId="71E364F9" w14:textId="77777777" w:rsidR="003E4DCD" w:rsidRPr="00706CB0" w:rsidRDefault="003E4DCD" w:rsidP="004246DC">
      <w:pPr>
        <w:pStyle w:val="Listeafsnit"/>
        <w:numPr>
          <w:ilvl w:val="0"/>
          <w:numId w:val="9"/>
        </w:numPr>
        <w:spacing w:after="120" w:line="240" w:lineRule="auto"/>
        <w:rPr>
          <w:lang w:val="en-GB"/>
        </w:rPr>
      </w:pPr>
      <w:r w:rsidRPr="00706CB0">
        <w:rPr>
          <w:lang w:val="en-GB"/>
        </w:rPr>
        <w:t>Annual status reports from country programmes over the years</w:t>
      </w:r>
    </w:p>
    <w:p w14:paraId="3BA5A4E2" w14:textId="77777777" w:rsidR="003E4DCD" w:rsidRPr="00706CB0" w:rsidRDefault="003E4DCD" w:rsidP="004246DC">
      <w:pPr>
        <w:pStyle w:val="Listeafsnit"/>
        <w:numPr>
          <w:ilvl w:val="0"/>
          <w:numId w:val="9"/>
        </w:numPr>
        <w:spacing w:after="120" w:line="240" w:lineRule="auto"/>
        <w:rPr>
          <w:lang w:val="en-GB"/>
        </w:rPr>
      </w:pPr>
      <w:r w:rsidRPr="00706CB0">
        <w:rPr>
          <w:lang w:val="en-GB"/>
        </w:rPr>
        <w:t>Programme completion reports from completed programmes</w:t>
      </w:r>
    </w:p>
    <w:p w14:paraId="5CB358D4" w14:textId="77777777" w:rsidR="00EE1AFB" w:rsidRPr="00706CB0" w:rsidRDefault="003E4DCD" w:rsidP="004246DC">
      <w:pPr>
        <w:pStyle w:val="Listeafsnit"/>
        <w:numPr>
          <w:ilvl w:val="0"/>
          <w:numId w:val="9"/>
        </w:numPr>
        <w:spacing w:after="120" w:line="240" w:lineRule="auto"/>
        <w:rPr>
          <w:lang w:val="en-GB"/>
        </w:rPr>
      </w:pPr>
      <w:r w:rsidRPr="00706CB0">
        <w:rPr>
          <w:lang w:val="en-GB"/>
        </w:rPr>
        <w:t>Result</w:t>
      </w:r>
      <w:r w:rsidR="001841ED" w:rsidRPr="00706CB0">
        <w:rPr>
          <w:lang w:val="en-GB"/>
        </w:rPr>
        <w:t>s</w:t>
      </w:r>
      <w:r w:rsidR="00EE1AFB" w:rsidRPr="00706CB0">
        <w:rPr>
          <w:lang w:val="en-GB"/>
        </w:rPr>
        <w:t xml:space="preserve"> contracts between MFA and CKU </w:t>
      </w:r>
    </w:p>
    <w:p w14:paraId="676397FA" w14:textId="77777777" w:rsidR="00EE1AFB" w:rsidRPr="00706CB0" w:rsidRDefault="00EE1AFB" w:rsidP="004246DC">
      <w:pPr>
        <w:pStyle w:val="Listeafsnit"/>
        <w:numPr>
          <w:ilvl w:val="1"/>
          <w:numId w:val="9"/>
        </w:numPr>
        <w:spacing w:after="120" w:line="240" w:lineRule="auto"/>
        <w:rPr>
          <w:lang w:val="en-GB"/>
        </w:rPr>
      </w:pPr>
      <w:r w:rsidRPr="00706CB0">
        <w:rPr>
          <w:lang w:val="en-GB"/>
        </w:rPr>
        <w:t>Results contract 2007-2009, December 2006</w:t>
      </w:r>
    </w:p>
    <w:p w14:paraId="72CA3F4A" w14:textId="77777777" w:rsidR="00EE1AFB" w:rsidRPr="00706CB0" w:rsidRDefault="00EE1AFB" w:rsidP="004246DC">
      <w:pPr>
        <w:pStyle w:val="Listeafsnit"/>
        <w:numPr>
          <w:ilvl w:val="1"/>
          <w:numId w:val="9"/>
        </w:numPr>
        <w:spacing w:after="120" w:line="240" w:lineRule="auto"/>
        <w:rPr>
          <w:lang w:val="en-GB"/>
        </w:rPr>
      </w:pPr>
      <w:r w:rsidRPr="00706CB0">
        <w:rPr>
          <w:lang w:val="en-GB"/>
        </w:rPr>
        <w:t>Results contract 2013 to 2015</w:t>
      </w:r>
    </w:p>
    <w:p w14:paraId="53EAE22F" w14:textId="77777777" w:rsidR="003E4DCD" w:rsidRPr="00706CB0" w:rsidRDefault="00EE1AFB" w:rsidP="004246DC">
      <w:pPr>
        <w:pStyle w:val="Listeafsnit"/>
        <w:numPr>
          <w:ilvl w:val="0"/>
          <w:numId w:val="9"/>
        </w:numPr>
        <w:spacing w:after="120" w:line="240" w:lineRule="auto"/>
        <w:rPr>
          <w:lang w:val="en-GB"/>
        </w:rPr>
      </w:pPr>
      <w:r w:rsidRPr="00706CB0">
        <w:rPr>
          <w:lang w:val="en-GB"/>
        </w:rPr>
        <w:t>A</w:t>
      </w:r>
      <w:r w:rsidR="003E4DCD" w:rsidRPr="00706CB0">
        <w:rPr>
          <w:lang w:val="en-GB"/>
        </w:rPr>
        <w:t>nnual work plans</w:t>
      </w:r>
      <w:r w:rsidRPr="00706CB0">
        <w:rPr>
          <w:lang w:val="en-GB"/>
        </w:rPr>
        <w:t xml:space="preserve"> of CKU</w:t>
      </w:r>
    </w:p>
    <w:p w14:paraId="74F3F8EB" w14:textId="77777777" w:rsidR="00EE1AFB" w:rsidRPr="00706CB0" w:rsidRDefault="00EE1AFB" w:rsidP="004246DC">
      <w:pPr>
        <w:pStyle w:val="Listeafsnit"/>
        <w:numPr>
          <w:ilvl w:val="0"/>
          <w:numId w:val="9"/>
        </w:numPr>
        <w:spacing w:after="120" w:line="240" w:lineRule="auto"/>
        <w:rPr>
          <w:lang w:val="en-GB"/>
        </w:rPr>
      </w:pPr>
      <w:r w:rsidRPr="00706CB0">
        <w:rPr>
          <w:lang w:val="en-GB"/>
        </w:rPr>
        <w:t>Reports to MFA on results framework and work plans</w:t>
      </w:r>
    </w:p>
    <w:p w14:paraId="4EA13306" w14:textId="2A628099" w:rsidR="003E4DCD" w:rsidRPr="00706CB0" w:rsidRDefault="00DF4DAD" w:rsidP="004246DC">
      <w:pPr>
        <w:pStyle w:val="Listeafsnit"/>
        <w:numPr>
          <w:ilvl w:val="0"/>
          <w:numId w:val="9"/>
        </w:numPr>
        <w:spacing w:after="120" w:line="240" w:lineRule="auto"/>
        <w:rPr>
          <w:lang w:val="en-GB"/>
        </w:rPr>
      </w:pPr>
      <w:r w:rsidRPr="00706CB0">
        <w:rPr>
          <w:lang w:val="en-GB"/>
        </w:rPr>
        <w:t xml:space="preserve">Preparation of </w:t>
      </w:r>
      <w:r w:rsidR="00BD7B9B" w:rsidRPr="00706CB0">
        <w:rPr>
          <w:lang w:val="en-GB"/>
        </w:rPr>
        <w:t>Denmark’s new</w:t>
      </w:r>
      <w:r w:rsidRPr="00706CB0">
        <w:rPr>
          <w:lang w:val="en-GB"/>
        </w:rPr>
        <w:t xml:space="preserve"> strategic framework for culture and development: Overview and process plan</w:t>
      </w:r>
    </w:p>
    <w:p w14:paraId="192F5D80" w14:textId="77777777" w:rsidR="003E4DCD" w:rsidRPr="00706CB0" w:rsidRDefault="003E4DCD" w:rsidP="004246DC">
      <w:pPr>
        <w:pStyle w:val="Listeafsnit"/>
        <w:numPr>
          <w:ilvl w:val="0"/>
          <w:numId w:val="9"/>
        </w:numPr>
        <w:spacing w:after="120" w:line="240" w:lineRule="auto"/>
        <w:rPr>
          <w:lang w:val="en-GB"/>
        </w:rPr>
      </w:pPr>
      <w:r w:rsidRPr="00706CB0">
        <w:rPr>
          <w:lang w:val="en-GB"/>
        </w:rPr>
        <w:t xml:space="preserve">Review of CKU 2009, </w:t>
      </w:r>
    </w:p>
    <w:p w14:paraId="4922B5B1" w14:textId="77777777" w:rsidR="003E4DCD" w:rsidRPr="00706CB0" w:rsidRDefault="003E4DCD" w:rsidP="004246DC">
      <w:pPr>
        <w:pStyle w:val="Listeafsnit"/>
        <w:numPr>
          <w:ilvl w:val="0"/>
          <w:numId w:val="9"/>
        </w:numPr>
        <w:spacing w:after="120" w:line="240" w:lineRule="auto"/>
        <w:rPr>
          <w:lang w:val="en-GB"/>
        </w:rPr>
      </w:pPr>
      <w:r w:rsidRPr="00706CB0">
        <w:rPr>
          <w:lang w:val="en-GB"/>
        </w:rPr>
        <w:t>Review of CKU 2015</w:t>
      </w:r>
    </w:p>
    <w:p w14:paraId="53A117FF" w14:textId="09426433" w:rsidR="003E4DCD" w:rsidRPr="00706CB0" w:rsidRDefault="00881F34" w:rsidP="004246DC">
      <w:pPr>
        <w:pStyle w:val="Listeafsnit"/>
        <w:numPr>
          <w:ilvl w:val="0"/>
          <w:numId w:val="9"/>
        </w:numPr>
        <w:spacing w:after="120" w:line="240" w:lineRule="auto"/>
        <w:rPr>
          <w:lang w:val="en-GB"/>
        </w:rPr>
      </w:pPr>
      <w:r w:rsidRPr="00706CB0">
        <w:rPr>
          <w:lang w:val="en-GB"/>
        </w:rPr>
        <w:t xml:space="preserve">Report: Methods, Results and Experience, </w:t>
      </w:r>
      <w:proofErr w:type="spellStart"/>
      <w:r w:rsidRPr="00706CB0">
        <w:rPr>
          <w:lang w:val="en-GB"/>
        </w:rPr>
        <w:t>Knud</w:t>
      </w:r>
      <w:proofErr w:type="spellEnd"/>
      <w:r w:rsidRPr="00706CB0">
        <w:rPr>
          <w:lang w:val="en-GB"/>
        </w:rPr>
        <w:t xml:space="preserve"> </w:t>
      </w:r>
      <w:proofErr w:type="spellStart"/>
      <w:r w:rsidRPr="00706CB0">
        <w:rPr>
          <w:lang w:val="en-GB"/>
        </w:rPr>
        <w:t>Vilby</w:t>
      </w:r>
      <w:proofErr w:type="spellEnd"/>
      <w:r w:rsidRPr="00706CB0">
        <w:rPr>
          <w:lang w:val="en-GB"/>
        </w:rPr>
        <w:t>, April 2013</w:t>
      </w:r>
    </w:p>
    <w:p w14:paraId="66228387" w14:textId="7FA32750" w:rsidR="00F8095A" w:rsidRPr="00706CB0" w:rsidRDefault="00F8095A" w:rsidP="004246DC">
      <w:pPr>
        <w:spacing w:line="240" w:lineRule="auto"/>
        <w:rPr>
          <w:lang w:val="en-GB"/>
        </w:rPr>
      </w:pPr>
    </w:p>
    <w:p w14:paraId="551CAF7A" w14:textId="77777777" w:rsidR="00F41A8C" w:rsidRPr="00706CB0" w:rsidRDefault="00F41A8C" w:rsidP="007742AA">
      <w:pPr>
        <w:spacing w:line="240" w:lineRule="auto"/>
        <w:rPr>
          <w:lang w:val="en-GB"/>
        </w:rPr>
      </w:pPr>
      <w:r w:rsidRPr="00706CB0">
        <w:rPr>
          <w:lang w:val="en-GB"/>
        </w:rPr>
        <w:t>For the three sample countries</w:t>
      </w:r>
      <w:r w:rsidR="009C4F1B" w:rsidRPr="00706CB0">
        <w:rPr>
          <w:lang w:val="en-GB"/>
        </w:rPr>
        <w:t xml:space="preserve"> and besides the above mentioned documents</w:t>
      </w:r>
      <w:r w:rsidRPr="00706CB0">
        <w:rPr>
          <w:lang w:val="en-GB"/>
        </w:rPr>
        <w:t>:</w:t>
      </w:r>
    </w:p>
    <w:p w14:paraId="4884C891" w14:textId="451CF46E" w:rsidR="009C4F1B" w:rsidRPr="00706CB0" w:rsidRDefault="009C4F1B" w:rsidP="007742AA">
      <w:pPr>
        <w:pStyle w:val="Listeafsnit"/>
        <w:numPr>
          <w:ilvl w:val="0"/>
          <w:numId w:val="41"/>
        </w:numPr>
        <w:spacing w:line="240" w:lineRule="auto"/>
        <w:rPr>
          <w:lang w:val="en-GB"/>
        </w:rPr>
      </w:pPr>
      <w:r w:rsidRPr="00706CB0">
        <w:rPr>
          <w:lang w:val="en-GB"/>
        </w:rPr>
        <w:t>Project documents</w:t>
      </w:r>
    </w:p>
    <w:p w14:paraId="02D9E952" w14:textId="3E7EF6DF" w:rsidR="007742AA" w:rsidRPr="00706CB0" w:rsidRDefault="007742AA" w:rsidP="007742AA">
      <w:pPr>
        <w:pStyle w:val="Listeafsnit"/>
        <w:numPr>
          <w:ilvl w:val="0"/>
          <w:numId w:val="41"/>
        </w:numPr>
        <w:spacing w:line="240" w:lineRule="auto"/>
        <w:rPr>
          <w:lang w:val="en-GB"/>
        </w:rPr>
      </w:pPr>
      <w:r w:rsidRPr="00706CB0">
        <w:rPr>
          <w:lang w:val="en-GB"/>
        </w:rPr>
        <w:t>Project and programme reports</w:t>
      </w:r>
    </w:p>
    <w:p w14:paraId="42E9DC8A" w14:textId="75665234" w:rsidR="00EA05ED" w:rsidRPr="00706CB0" w:rsidRDefault="007742AA" w:rsidP="007742AA">
      <w:pPr>
        <w:pStyle w:val="Listeafsnit"/>
        <w:numPr>
          <w:ilvl w:val="0"/>
          <w:numId w:val="41"/>
        </w:numPr>
        <w:spacing w:line="240" w:lineRule="auto"/>
        <w:rPr>
          <w:lang w:val="en-GB"/>
        </w:rPr>
      </w:pPr>
      <w:r w:rsidRPr="00706CB0">
        <w:rPr>
          <w:lang w:val="en-GB"/>
        </w:rPr>
        <w:t>A</w:t>
      </w:r>
      <w:r w:rsidR="00F41A8C" w:rsidRPr="00706CB0">
        <w:rPr>
          <w:lang w:val="en-GB"/>
        </w:rPr>
        <w:t>greements with embassies</w:t>
      </w:r>
    </w:p>
    <w:sectPr w:rsidR="00EA05ED" w:rsidRPr="00706CB0">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98267" w14:textId="77777777" w:rsidR="0009016C" w:rsidRDefault="0009016C">
      <w:pPr>
        <w:spacing w:after="0" w:line="240" w:lineRule="auto"/>
      </w:pPr>
      <w:r>
        <w:separator/>
      </w:r>
    </w:p>
  </w:endnote>
  <w:endnote w:type="continuationSeparator" w:id="0">
    <w:p w14:paraId="476C445F" w14:textId="77777777" w:rsidR="0009016C" w:rsidRDefault="0009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7741" w14:textId="2DB86B86" w:rsidR="0009016C" w:rsidRPr="00C13C03" w:rsidRDefault="0009016C">
    <w:pPr>
      <w:pStyle w:val="Sidefod"/>
      <w:jc w:val="center"/>
      <w:rPr>
        <w:sz w:val="20"/>
      </w:rPr>
    </w:pPr>
    <w:r w:rsidRPr="00C13C03">
      <w:rPr>
        <w:sz w:val="20"/>
      </w:rPr>
      <w:t xml:space="preserve">Page </w:t>
    </w:r>
    <w:sdt>
      <w:sdtPr>
        <w:rPr>
          <w:sz w:val="20"/>
        </w:rPr>
        <w:id w:val="1023439395"/>
        <w:docPartObj>
          <w:docPartGallery w:val="Page Numbers (Bottom of Page)"/>
          <w:docPartUnique/>
        </w:docPartObj>
      </w:sdtPr>
      <w:sdtEndPr/>
      <w:sdtContent>
        <w:r w:rsidRPr="00C13C03">
          <w:rPr>
            <w:sz w:val="20"/>
          </w:rPr>
          <w:fldChar w:fldCharType="begin"/>
        </w:r>
        <w:r w:rsidRPr="00C13C03">
          <w:rPr>
            <w:sz w:val="20"/>
          </w:rPr>
          <w:instrText>PAGE   \* MERGEFORMAT</w:instrText>
        </w:r>
        <w:r w:rsidRPr="00C13C03">
          <w:rPr>
            <w:sz w:val="20"/>
          </w:rPr>
          <w:fldChar w:fldCharType="separate"/>
        </w:r>
        <w:r w:rsidR="005C590E">
          <w:rPr>
            <w:noProof/>
            <w:sz w:val="20"/>
          </w:rPr>
          <w:t>7</w:t>
        </w:r>
        <w:r w:rsidRPr="00C13C03">
          <w:rPr>
            <w:sz w:val="20"/>
          </w:rPr>
          <w:fldChar w:fldCharType="end"/>
        </w:r>
      </w:sdtContent>
    </w:sdt>
  </w:p>
  <w:p w14:paraId="1118C45E" w14:textId="77777777" w:rsidR="0009016C" w:rsidRDefault="000901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F671" w14:textId="77777777" w:rsidR="0009016C" w:rsidRDefault="0009016C">
      <w:pPr>
        <w:spacing w:after="0" w:line="240" w:lineRule="auto"/>
      </w:pPr>
      <w:r>
        <w:separator/>
      </w:r>
    </w:p>
  </w:footnote>
  <w:footnote w:type="continuationSeparator" w:id="0">
    <w:p w14:paraId="1B5084F5" w14:textId="77777777" w:rsidR="0009016C" w:rsidRDefault="0009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16"/>
    <w:multiLevelType w:val="hybridMultilevel"/>
    <w:tmpl w:val="35764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527B9"/>
    <w:multiLevelType w:val="hybridMultilevel"/>
    <w:tmpl w:val="18144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F0837"/>
    <w:multiLevelType w:val="hybridMultilevel"/>
    <w:tmpl w:val="B4B4C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E43A79"/>
    <w:multiLevelType w:val="hybridMultilevel"/>
    <w:tmpl w:val="CA18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002F7"/>
    <w:multiLevelType w:val="hybridMultilevel"/>
    <w:tmpl w:val="0FCA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37D48"/>
    <w:multiLevelType w:val="hybridMultilevel"/>
    <w:tmpl w:val="F19805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168D5"/>
    <w:multiLevelType w:val="hybridMultilevel"/>
    <w:tmpl w:val="1E36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903B3"/>
    <w:multiLevelType w:val="hybridMultilevel"/>
    <w:tmpl w:val="60260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9208D"/>
    <w:multiLevelType w:val="hybridMultilevel"/>
    <w:tmpl w:val="0764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D16A3"/>
    <w:multiLevelType w:val="hybridMultilevel"/>
    <w:tmpl w:val="F7D43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AD23FF"/>
    <w:multiLevelType w:val="hybridMultilevel"/>
    <w:tmpl w:val="4F1C4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92C41"/>
    <w:multiLevelType w:val="hybridMultilevel"/>
    <w:tmpl w:val="EDDA72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E78AA"/>
    <w:multiLevelType w:val="hybridMultilevel"/>
    <w:tmpl w:val="AB56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46603"/>
    <w:multiLevelType w:val="hybridMultilevel"/>
    <w:tmpl w:val="382EB6AA"/>
    <w:lvl w:ilvl="0" w:tplc="00D2E82A">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35711"/>
    <w:multiLevelType w:val="hybridMultilevel"/>
    <w:tmpl w:val="C606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55588"/>
    <w:multiLevelType w:val="hybridMultilevel"/>
    <w:tmpl w:val="3EA2603E"/>
    <w:lvl w:ilvl="0" w:tplc="0406000F">
      <w:start w:val="1"/>
      <w:numFmt w:val="decimal"/>
      <w:lvlText w:val="%1."/>
      <w:lvlJc w:val="left"/>
      <w:pPr>
        <w:tabs>
          <w:tab w:val="num" w:pos="720"/>
        </w:tabs>
        <w:ind w:left="720" w:hanging="360"/>
      </w:pPr>
    </w:lvl>
    <w:lvl w:ilvl="1" w:tplc="BBECF1FC">
      <w:start w:val="1"/>
      <w:numFmt w:val="decimal"/>
      <w:lvlText w:val="%2)"/>
      <w:lvlJc w:val="left"/>
      <w:pPr>
        <w:tabs>
          <w:tab w:val="num" w:pos="1440"/>
        </w:tabs>
        <w:ind w:left="1440" w:hanging="360"/>
      </w:pPr>
      <w:rPr>
        <w:rFonts w:ascii="Garamond" w:eastAsia="Courier New" w:hAnsi="Garamond" w:cs="Times New Roman"/>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6" w15:restartNumberingAfterBreak="0">
    <w:nsid w:val="2F436666"/>
    <w:multiLevelType w:val="hybridMultilevel"/>
    <w:tmpl w:val="4B74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A26FD"/>
    <w:multiLevelType w:val="hybridMultilevel"/>
    <w:tmpl w:val="03FE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B1E33"/>
    <w:multiLevelType w:val="hybridMultilevel"/>
    <w:tmpl w:val="7F1AA580"/>
    <w:lvl w:ilvl="0" w:tplc="0406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30E3B"/>
    <w:multiLevelType w:val="hybridMultilevel"/>
    <w:tmpl w:val="DC2AE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61A0B"/>
    <w:multiLevelType w:val="hybridMultilevel"/>
    <w:tmpl w:val="7EA2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A2B48"/>
    <w:multiLevelType w:val="hybridMultilevel"/>
    <w:tmpl w:val="2872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C6C41"/>
    <w:multiLevelType w:val="hybridMultilevel"/>
    <w:tmpl w:val="8E4EEB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51B6168"/>
    <w:multiLevelType w:val="hybridMultilevel"/>
    <w:tmpl w:val="4970B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5A794D"/>
    <w:multiLevelType w:val="hybridMultilevel"/>
    <w:tmpl w:val="8E58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36549"/>
    <w:multiLevelType w:val="hybridMultilevel"/>
    <w:tmpl w:val="E852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0438A"/>
    <w:multiLevelType w:val="hybridMultilevel"/>
    <w:tmpl w:val="96C477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325BD"/>
    <w:multiLevelType w:val="hybridMultilevel"/>
    <w:tmpl w:val="F7E22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7A17B3A"/>
    <w:multiLevelType w:val="hybridMultilevel"/>
    <w:tmpl w:val="49A6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33EEE"/>
    <w:multiLevelType w:val="hybridMultilevel"/>
    <w:tmpl w:val="89E47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F3CC2"/>
    <w:multiLevelType w:val="hybridMultilevel"/>
    <w:tmpl w:val="3404EA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1035E"/>
    <w:multiLevelType w:val="hybridMultilevel"/>
    <w:tmpl w:val="D58A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14BA7"/>
    <w:multiLevelType w:val="hybridMultilevel"/>
    <w:tmpl w:val="2F901F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8D87AD3"/>
    <w:multiLevelType w:val="hybridMultilevel"/>
    <w:tmpl w:val="61DC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1016F"/>
    <w:multiLevelType w:val="hybridMultilevel"/>
    <w:tmpl w:val="83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B2FBF"/>
    <w:multiLevelType w:val="hybridMultilevel"/>
    <w:tmpl w:val="F5EC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B0584E"/>
    <w:multiLevelType w:val="hybridMultilevel"/>
    <w:tmpl w:val="EA7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81D38"/>
    <w:multiLevelType w:val="hybridMultilevel"/>
    <w:tmpl w:val="5126A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C61AA1"/>
    <w:multiLevelType w:val="hybridMultilevel"/>
    <w:tmpl w:val="8E44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0112A"/>
    <w:multiLevelType w:val="hybridMultilevel"/>
    <w:tmpl w:val="404C2D80"/>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FB3522D"/>
    <w:multiLevelType w:val="hybridMultilevel"/>
    <w:tmpl w:val="9756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31"/>
  </w:num>
  <w:num w:numId="4">
    <w:abstractNumId w:val="29"/>
  </w:num>
  <w:num w:numId="5">
    <w:abstractNumId w:val="18"/>
  </w:num>
  <w:num w:numId="6">
    <w:abstractNumId w:val="28"/>
  </w:num>
  <w:num w:numId="7">
    <w:abstractNumId w:val="3"/>
  </w:num>
  <w:num w:numId="8">
    <w:abstractNumId w:val="14"/>
  </w:num>
  <w:num w:numId="9">
    <w:abstractNumId w:val="10"/>
  </w:num>
  <w:num w:numId="10">
    <w:abstractNumId w:val="12"/>
  </w:num>
  <w:num w:numId="11">
    <w:abstractNumId w:val="22"/>
  </w:num>
  <w:num w:numId="12">
    <w:abstractNumId w:val="39"/>
  </w:num>
  <w:num w:numId="13">
    <w:abstractNumId w:val="25"/>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7"/>
  </w:num>
  <w:num w:numId="18">
    <w:abstractNumId w:val="9"/>
  </w:num>
  <w:num w:numId="19">
    <w:abstractNumId w:val="34"/>
  </w:num>
  <w:num w:numId="20">
    <w:abstractNumId w:val="17"/>
  </w:num>
  <w:num w:numId="21">
    <w:abstractNumId w:val="23"/>
  </w:num>
  <w:num w:numId="22">
    <w:abstractNumId w:val="37"/>
  </w:num>
  <w:num w:numId="23">
    <w:abstractNumId w:val="19"/>
  </w:num>
  <w:num w:numId="24">
    <w:abstractNumId w:val="26"/>
  </w:num>
  <w:num w:numId="25">
    <w:abstractNumId w:val="5"/>
  </w:num>
  <w:num w:numId="26">
    <w:abstractNumId w:val="11"/>
  </w:num>
  <w:num w:numId="27">
    <w:abstractNumId w:val="36"/>
  </w:num>
  <w:num w:numId="28">
    <w:abstractNumId w:val="0"/>
  </w:num>
  <w:num w:numId="29">
    <w:abstractNumId w:val="33"/>
  </w:num>
  <w:num w:numId="30">
    <w:abstractNumId w:val="38"/>
  </w:num>
  <w:num w:numId="31">
    <w:abstractNumId w:val="21"/>
  </w:num>
  <w:num w:numId="32">
    <w:abstractNumId w:val="30"/>
  </w:num>
  <w:num w:numId="33">
    <w:abstractNumId w:val="8"/>
  </w:num>
  <w:num w:numId="34">
    <w:abstractNumId w:val="1"/>
  </w:num>
  <w:num w:numId="35">
    <w:abstractNumId w:val="20"/>
  </w:num>
  <w:num w:numId="36">
    <w:abstractNumId w:val="4"/>
  </w:num>
  <w:num w:numId="37">
    <w:abstractNumId w:val="16"/>
  </w:num>
  <w:num w:numId="38">
    <w:abstractNumId w:val="32"/>
  </w:num>
  <w:num w:numId="39">
    <w:abstractNumId w:val="27"/>
  </w:num>
  <w:num w:numId="40">
    <w:abstractNumId w:val="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CD"/>
    <w:rsid w:val="00014BF8"/>
    <w:rsid w:val="00020F4C"/>
    <w:rsid w:val="00025CE5"/>
    <w:rsid w:val="00066FA8"/>
    <w:rsid w:val="0009016C"/>
    <w:rsid w:val="000C5CA6"/>
    <w:rsid w:val="001028D0"/>
    <w:rsid w:val="001343EB"/>
    <w:rsid w:val="00165624"/>
    <w:rsid w:val="001841ED"/>
    <w:rsid w:val="001A31D9"/>
    <w:rsid w:val="001F0597"/>
    <w:rsid w:val="002149B7"/>
    <w:rsid w:val="0024020F"/>
    <w:rsid w:val="00282828"/>
    <w:rsid w:val="00316E6E"/>
    <w:rsid w:val="003E4DCD"/>
    <w:rsid w:val="003E7715"/>
    <w:rsid w:val="003F3D5D"/>
    <w:rsid w:val="00404A86"/>
    <w:rsid w:val="0040601E"/>
    <w:rsid w:val="004246DC"/>
    <w:rsid w:val="004327FD"/>
    <w:rsid w:val="00482C1A"/>
    <w:rsid w:val="00497ADF"/>
    <w:rsid w:val="004A05F7"/>
    <w:rsid w:val="004C668F"/>
    <w:rsid w:val="00531929"/>
    <w:rsid w:val="005C590E"/>
    <w:rsid w:val="0063254F"/>
    <w:rsid w:val="00651685"/>
    <w:rsid w:val="006B6F42"/>
    <w:rsid w:val="006F16D1"/>
    <w:rsid w:val="007015A2"/>
    <w:rsid w:val="0070168B"/>
    <w:rsid w:val="00706B6D"/>
    <w:rsid w:val="00706CB0"/>
    <w:rsid w:val="00730A48"/>
    <w:rsid w:val="00770197"/>
    <w:rsid w:val="007742AA"/>
    <w:rsid w:val="007D64B7"/>
    <w:rsid w:val="00804AD8"/>
    <w:rsid w:val="00823721"/>
    <w:rsid w:val="008660B8"/>
    <w:rsid w:val="00881F34"/>
    <w:rsid w:val="008D1DEC"/>
    <w:rsid w:val="009C4F1B"/>
    <w:rsid w:val="00A615D0"/>
    <w:rsid w:val="00A72BCB"/>
    <w:rsid w:val="00A75278"/>
    <w:rsid w:val="00A959F7"/>
    <w:rsid w:val="00AC338C"/>
    <w:rsid w:val="00AE1C56"/>
    <w:rsid w:val="00B20901"/>
    <w:rsid w:val="00B83D1E"/>
    <w:rsid w:val="00BB2AE3"/>
    <w:rsid w:val="00BC1F84"/>
    <w:rsid w:val="00BD7B9B"/>
    <w:rsid w:val="00BE2BB5"/>
    <w:rsid w:val="00C070DB"/>
    <w:rsid w:val="00C51C5C"/>
    <w:rsid w:val="00C7488D"/>
    <w:rsid w:val="00D40AD2"/>
    <w:rsid w:val="00D7402B"/>
    <w:rsid w:val="00DA44F7"/>
    <w:rsid w:val="00DA4C69"/>
    <w:rsid w:val="00DF4DAD"/>
    <w:rsid w:val="00DF6FAC"/>
    <w:rsid w:val="00E17848"/>
    <w:rsid w:val="00E25D41"/>
    <w:rsid w:val="00E77630"/>
    <w:rsid w:val="00EA05ED"/>
    <w:rsid w:val="00EC7068"/>
    <w:rsid w:val="00ED408F"/>
    <w:rsid w:val="00EE1AFB"/>
    <w:rsid w:val="00F32FCF"/>
    <w:rsid w:val="00F33469"/>
    <w:rsid w:val="00F41A8C"/>
    <w:rsid w:val="00F77251"/>
    <w:rsid w:val="00F8095A"/>
    <w:rsid w:val="00F84109"/>
    <w:rsid w:val="00FF3C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08BD"/>
  <w15:chartTrackingRefBased/>
  <w15:docId w15:val="{2FF3611B-A975-4BD1-9BAE-EAAD02E7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4D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E4DCD"/>
    <w:pPr>
      <w:ind w:left="720"/>
      <w:contextualSpacing/>
    </w:pPr>
  </w:style>
  <w:style w:type="table" w:styleId="Tabel-Gitter">
    <w:name w:val="Table Grid"/>
    <w:basedOn w:val="Tabel-Normal"/>
    <w:uiPriority w:val="39"/>
    <w:rsid w:val="003E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Standardskrifttypeiafsnit"/>
    <w:rsid w:val="003E4DCD"/>
  </w:style>
  <w:style w:type="paragraph" w:styleId="Sidefod">
    <w:name w:val="footer"/>
    <w:basedOn w:val="Normal"/>
    <w:link w:val="SidefodTegn"/>
    <w:uiPriority w:val="99"/>
    <w:unhideWhenUsed/>
    <w:rsid w:val="003E4D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4DCD"/>
  </w:style>
  <w:style w:type="paragraph" w:styleId="FormateretHTML">
    <w:name w:val="HTML Preformatted"/>
    <w:basedOn w:val="Normal"/>
    <w:link w:val="FormateretHTMLTegn"/>
    <w:semiHidden/>
    <w:unhideWhenUsed/>
    <w:rsid w:val="00EE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da-DK"/>
    </w:rPr>
  </w:style>
  <w:style w:type="character" w:customStyle="1" w:styleId="FormateretHTMLTegn">
    <w:name w:val="Formateret HTML Tegn"/>
    <w:basedOn w:val="Standardskrifttypeiafsnit"/>
    <w:link w:val="FormateretHTML"/>
    <w:semiHidden/>
    <w:rsid w:val="00EE1AFB"/>
    <w:rPr>
      <w:rFonts w:ascii="Courier New" w:eastAsia="Courier New" w:hAnsi="Courier New" w:cs="Courier New"/>
      <w:sz w:val="20"/>
      <w:szCs w:val="20"/>
      <w:lang w:eastAsia="da-DK"/>
    </w:rPr>
  </w:style>
  <w:style w:type="paragraph" w:styleId="Markeringsbobletekst">
    <w:name w:val="Balloon Text"/>
    <w:basedOn w:val="Normal"/>
    <w:link w:val="MarkeringsbobletekstTegn"/>
    <w:uiPriority w:val="99"/>
    <w:semiHidden/>
    <w:unhideWhenUsed/>
    <w:rsid w:val="00F7725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7251"/>
    <w:rPr>
      <w:rFonts w:ascii="Segoe UI" w:hAnsi="Segoe UI" w:cs="Segoe UI"/>
      <w:sz w:val="18"/>
      <w:szCs w:val="18"/>
    </w:rPr>
  </w:style>
  <w:style w:type="character" w:styleId="Kommentarhenvisning">
    <w:name w:val="annotation reference"/>
    <w:basedOn w:val="Standardskrifttypeiafsnit"/>
    <w:uiPriority w:val="99"/>
    <w:semiHidden/>
    <w:unhideWhenUsed/>
    <w:rsid w:val="00AC338C"/>
    <w:rPr>
      <w:sz w:val="16"/>
      <w:szCs w:val="16"/>
    </w:rPr>
  </w:style>
  <w:style w:type="paragraph" w:styleId="Kommentartekst">
    <w:name w:val="annotation text"/>
    <w:basedOn w:val="Normal"/>
    <w:link w:val="KommentartekstTegn"/>
    <w:uiPriority w:val="99"/>
    <w:semiHidden/>
    <w:unhideWhenUsed/>
    <w:rsid w:val="00AC338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C338C"/>
    <w:rPr>
      <w:sz w:val="20"/>
      <w:szCs w:val="20"/>
    </w:rPr>
  </w:style>
  <w:style w:type="paragraph" w:styleId="Kommentaremne">
    <w:name w:val="annotation subject"/>
    <w:basedOn w:val="Kommentartekst"/>
    <w:next w:val="Kommentartekst"/>
    <w:link w:val="KommentaremneTegn"/>
    <w:uiPriority w:val="99"/>
    <w:semiHidden/>
    <w:unhideWhenUsed/>
    <w:rsid w:val="00AC338C"/>
    <w:rPr>
      <w:b/>
      <w:bCs/>
    </w:rPr>
  </w:style>
  <w:style w:type="character" w:customStyle="1" w:styleId="KommentaremneTegn">
    <w:name w:val="Kommentaremne Tegn"/>
    <w:basedOn w:val="KommentartekstTegn"/>
    <w:link w:val="Kommentaremne"/>
    <w:uiPriority w:val="99"/>
    <w:semiHidden/>
    <w:rsid w:val="00AC338C"/>
    <w:rPr>
      <w:b/>
      <w:bCs/>
      <w:sz w:val="20"/>
      <w:szCs w:val="20"/>
    </w:rPr>
  </w:style>
  <w:style w:type="paragraph" w:styleId="Brdtekst">
    <w:name w:val="Body Text"/>
    <w:basedOn w:val="Normal"/>
    <w:link w:val="BrdtekstTegn"/>
    <w:uiPriority w:val="99"/>
    <w:rsid w:val="00823721"/>
    <w:pPr>
      <w:pBdr>
        <w:top w:val="none" w:sz="96" w:space="31" w:color="FFFFFF" w:shadow="1" w:frame="1"/>
        <w:left w:val="none" w:sz="96" w:space="31" w:color="FFFFFF" w:shadow="1" w:frame="1"/>
        <w:bottom w:val="none" w:sz="96" w:space="31" w:color="FFFFFF" w:shadow="1" w:frame="1"/>
        <w:right w:val="none" w:sz="96" w:space="31" w:color="FFFFFF" w:shadow="1" w:frame="1"/>
      </w:pBdr>
      <w:spacing w:after="240" w:line="240" w:lineRule="auto"/>
      <w:jc w:val="both"/>
    </w:pPr>
    <w:rPr>
      <w:rFonts w:ascii="Garamond" w:eastAsia="Arial Unicode MS" w:hAnsi="Arial Unicode MS" w:cs="Arial Unicode MS"/>
      <w:color w:val="000000"/>
      <w:sz w:val="24"/>
      <w:szCs w:val="24"/>
      <w:u w:color="000000"/>
      <w:lang w:val="en-US" w:eastAsia="da-DK"/>
    </w:rPr>
  </w:style>
  <w:style w:type="character" w:customStyle="1" w:styleId="BrdtekstTegn">
    <w:name w:val="Brødtekst Tegn"/>
    <w:basedOn w:val="Standardskrifttypeiafsnit"/>
    <w:link w:val="Brdtekst"/>
    <w:uiPriority w:val="99"/>
    <w:rsid w:val="00823721"/>
    <w:rPr>
      <w:rFonts w:ascii="Garamond" w:eastAsia="Arial Unicode MS" w:hAnsi="Arial Unicode MS" w:cs="Arial Unicode MS"/>
      <w:color w:val="000000"/>
      <w:sz w:val="24"/>
      <w:szCs w:val="24"/>
      <w:u w:color="000000"/>
      <w:lang w:val="en-US" w:eastAsia="da-DK"/>
    </w:rPr>
  </w:style>
  <w:style w:type="character" w:styleId="Hyperlink">
    <w:name w:val="Hyperlink"/>
    <w:basedOn w:val="Standardskrifttypeiafsnit"/>
    <w:uiPriority w:val="99"/>
    <w:unhideWhenUsed/>
    <w:rsid w:val="0082372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B108-1C0B-4782-AE75-C7CE5A4D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2894</Words>
  <Characters>16496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Lodemann</dc:creator>
  <cp:keywords/>
  <dc:description/>
  <cp:lastModifiedBy>Christoph Lodemann</cp:lastModifiedBy>
  <cp:revision>6</cp:revision>
  <cp:lastPrinted>2016-05-26T12:09:00Z</cp:lastPrinted>
  <dcterms:created xsi:type="dcterms:W3CDTF">2016-05-26T12:06:00Z</dcterms:created>
  <dcterms:modified xsi:type="dcterms:W3CDTF">2016-05-30T07:09:00Z</dcterms:modified>
</cp:coreProperties>
</file>