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D6" w:rsidRPr="004F15D6" w:rsidRDefault="004F15D6" w:rsidP="004F15D6">
      <w:pPr>
        <w:pStyle w:val="Default"/>
        <w:rPr>
          <w:color w:val="auto"/>
          <w:sz w:val="32"/>
          <w:szCs w:val="32"/>
          <w:u w:val="single"/>
        </w:rPr>
      </w:pPr>
      <w:r w:rsidRPr="004F15D6">
        <w:rPr>
          <w:color w:val="auto"/>
          <w:sz w:val="32"/>
          <w:szCs w:val="32"/>
          <w:u w:val="single"/>
        </w:rPr>
        <w:t>Taxaudbud – Beskrivelse af opgaven – Udarbejdet 15. juni 2017</w:t>
      </w:r>
    </w:p>
    <w:p w:rsidR="004F15D6" w:rsidRDefault="004F15D6" w:rsidP="004F15D6">
      <w:pPr>
        <w:pStyle w:val="Default"/>
        <w:rPr>
          <w:sz w:val="32"/>
          <w:szCs w:val="32"/>
        </w:rPr>
      </w:pPr>
    </w:p>
    <w:p w:rsidR="004F15D6" w:rsidRDefault="004F15D6" w:rsidP="004F15D6">
      <w:pPr>
        <w:pStyle w:val="Default"/>
        <w:rPr>
          <w:rFonts w:ascii="Calibri" w:hAnsi="Calibri" w:cs="Calibri"/>
          <w:b/>
          <w:bCs/>
          <w:sz w:val="22"/>
          <w:szCs w:val="22"/>
        </w:rPr>
      </w:pPr>
      <w:r>
        <w:rPr>
          <w:sz w:val="32"/>
          <w:szCs w:val="32"/>
        </w:rPr>
        <w:t xml:space="preserve"> </w:t>
      </w:r>
      <w:r>
        <w:rPr>
          <w:rFonts w:ascii="Calibri" w:hAnsi="Calibri" w:cs="Calibri"/>
          <w:b/>
          <w:bCs/>
          <w:sz w:val="22"/>
          <w:szCs w:val="22"/>
        </w:rPr>
        <w:t xml:space="preserve">Beskrivelse af opgaven med taxakørsel på foranledning af Retten i Roskilde. </w:t>
      </w:r>
    </w:p>
    <w:p w:rsidR="004F15D6" w:rsidRDefault="004F15D6" w:rsidP="004F15D6">
      <w:pPr>
        <w:pStyle w:val="Default"/>
        <w:rPr>
          <w:rFonts w:ascii="Calibri" w:hAnsi="Calibri" w:cs="Calibri"/>
          <w:sz w:val="22"/>
          <w:szCs w:val="22"/>
        </w:rPr>
      </w:pPr>
    </w:p>
    <w:p w:rsidR="004F15D6" w:rsidRDefault="004F15D6" w:rsidP="004F15D6">
      <w:pPr>
        <w:pStyle w:val="Default"/>
        <w:rPr>
          <w:rFonts w:ascii="Calibri" w:hAnsi="Calibri" w:cs="Calibri"/>
          <w:sz w:val="22"/>
          <w:szCs w:val="22"/>
        </w:rPr>
      </w:pPr>
      <w:r>
        <w:rPr>
          <w:rFonts w:ascii="Calibri" w:hAnsi="Calibri" w:cs="Calibri"/>
          <w:sz w:val="22"/>
          <w:szCs w:val="22"/>
        </w:rPr>
        <w:t xml:space="preserve">Retten i Roskilde har behov for taxakørsel til en række opgaver, der udføres af rettens personale (typisk en person, men i enkelte tilfælde flere ansatte). </w:t>
      </w:r>
    </w:p>
    <w:p w:rsidR="004F15D6" w:rsidRDefault="004F15D6" w:rsidP="004F15D6">
      <w:pPr>
        <w:pStyle w:val="Default"/>
        <w:rPr>
          <w:rFonts w:ascii="Calibri" w:hAnsi="Calibri" w:cs="Calibri"/>
          <w:sz w:val="22"/>
          <w:szCs w:val="22"/>
        </w:rPr>
      </w:pPr>
    </w:p>
    <w:p w:rsidR="004F15D6" w:rsidRDefault="004F15D6" w:rsidP="004F15D6">
      <w:pPr>
        <w:pStyle w:val="Default"/>
        <w:rPr>
          <w:rFonts w:ascii="Calibri" w:hAnsi="Calibri" w:cs="Calibri"/>
          <w:sz w:val="22"/>
          <w:szCs w:val="22"/>
        </w:rPr>
      </w:pPr>
      <w:r>
        <w:rPr>
          <w:rFonts w:ascii="Calibri" w:hAnsi="Calibri" w:cs="Calibri"/>
          <w:sz w:val="22"/>
          <w:szCs w:val="22"/>
        </w:rPr>
        <w:t xml:space="preserve">Primært kan nævnes: </w:t>
      </w:r>
    </w:p>
    <w:p w:rsidR="004F15D6" w:rsidRDefault="004F15D6" w:rsidP="004F15D6">
      <w:pPr>
        <w:pStyle w:val="Default"/>
        <w:numPr>
          <w:ilvl w:val="0"/>
          <w:numId w:val="5"/>
        </w:numPr>
        <w:spacing w:after="70"/>
        <w:rPr>
          <w:rFonts w:ascii="Calibri" w:hAnsi="Calibri" w:cs="Calibri"/>
          <w:sz w:val="22"/>
          <w:szCs w:val="22"/>
        </w:rPr>
      </w:pPr>
      <w:r>
        <w:rPr>
          <w:rFonts w:ascii="Calibri" w:hAnsi="Calibri" w:cs="Calibri"/>
          <w:sz w:val="22"/>
          <w:szCs w:val="22"/>
        </w:rPr>
        <w:t xml:space="preserve">Udkørende behandling af sag fra fogedretten </w:t>
      </w:r>
    </w:p>
    <w:p w:rsidR="004F15D6" w:rsidRDefault="004F15D6" w:rsidP="004F15D6">
      <w:pPr>
        <w:pStyle w:val="Default"/>
        <w:numPr>
          <w:ilvl w:val="0"/>
          <w:numId w:val="5"/>
        </w:numPr>
        <w:spacing w:after="70"/>
        <w:rPr>
          <w:rFonts w:ascii="Calibri" w:hAnsi="Calibri" w:cs="Calibri"/>
          <w:sz w:val="22"/>
          <w:szCs w:val="22"/>
        </w:rPr>
      </w:pPr>
      <w:r>
        <w:rPr>
          <w:rFonts w:ascii="Calibri" w:hAnsi="Calibri" w:cs="Calibri"/>
          <w:sz w:val="22"/>
          <w:szCs w:val="22"/>
        </w:rPr>
        <w:t xml:space="preserve">Besigtigelse af fast ejendom i forbindelse med tvangsauktion (fogedretten) </w:t>
      </w:r>
    </w:p>
    <w:p w:rsidR="004F15D6" w:rsidRDefault="004F15D6" w:rsidP="004F15D6">
      <w:pPr>
        <w:pStyle w:val="Default"/>
        <w:numPr>
          <w:ilvl w:val="0"/>
          <w:numId w:val="5"/>
        </w:numPr>
        <w:spacing w:after="70"/>
        <w:rPr>
          <w:rFonts w:ascii="Calibri" w:hAnsi="Calibri" w:cs="Calibri"/>
          <w:sz w:val="22"/>
          <w:szCs w:val="22"/>
        </w:rPr>
      </w:pPr>
      <w:r>
        <w:rPr>
          <w:rFonts w:ascii="Calibri" w:hAnsi="Calibri" w:cs="Calibri"/>
          <w:sz w:val="22"/>
          <w:szCs w:val="22"/>
        </w:rPr>
        <w:t xml:space="preserve">Udkørende sagsbehandling i forbindelse med notarialforretning (skifteretten). </w:t>
      </w:r>
    </w:p>
    <w:p w:rsidR="004F15D6" w:rsidRDefault="004F15D6" w:rsidP="004F15D6">
      <w:pPr>
        <w:pStyle w:val="Default"/>
        <w:numPr>
          <w:ilvl w:val="0"/>
          <w:numId w:val="5"/>
        </w:numPr>
        <w:rPr>
          <w:rFonts w:ascii="Calibri" w:hAnsi="Calibri" w:cs="Calibri"/>
          <w:sz w:val="22"/>
          <w:szCs w:val="22"/>
        </w:rPr>
      </w:pPr>
      <w:r>
        <w:rPr>
          <w:rFonts w:ascii="Calibri" w:hAnsi="Calibri" w:cs="Calibri"/>
          <w:sz w:val="22"/>
          <w:szCs w:val="22"/>
        </w:rPr>
        <w:t xml:space="preserve">Udkørende sagsbehandling i forbindelse med anden sag, (f.eks. besigtigelse i boligretssag eller lignende (kan være fra alle afdelinger)). </w:t>
      </w:r>
    </w:p>
    <w:p w:rsidR="004F15D6" w:rsidRDefault="004F15D6" w:rsidP="004F15D6">
      <w:pPr>
        <w:pStyle w:val="Default"/>
        <w:rPr>
          <w:rFonts w:ascii="Calibri" w:hAnsi="Calibri" w:cs="Calibri"/>
          <w:sz w:val="22"/>
          <w:szCs w:val="22"/>
        </w:rPr>
      </w:pPr>
    </w:p>
    <w:p w:rsidR="004F15D6" w:rsidRDefault="004F15D6" w:rsidP="004F15D6">
      <w:pPr>
        <w:pStyle w:val="Default"/>
        <w:rPr>
          <w:rFonts w:ascii="Calibri" w:hAnsi="Calibri" w:cs="Calibri"/>
          <w:sz w:val="22"/>
          <w:szCs w:val="22"/>
        </w:rPr>
      </w:pPr>
    </w:p>
    <w:p w:rsidR="004F15D6" w:rsidRDefault="004F15D6" w:rsidP="004F15D6">
      <w:pPr>
        <w:pStyle w:val="Default"/>
        <w:rPr>
          <w:rFonts w:ascii="Calibri" w:hAnsi="Calibri" w:cs="Calibri"/>
          <w:sz w:val="22"/>
          <w:szCs w:val="22"/>
        </w:rPr>
      </w:pPr>
      <w:r>
        <w:rPr>
          <w:rFonts w:ascii="Calibri" w:hAnsi="Calibri" w:cs="Calibri"/>
          <w:sz w:val="22"/>
          <w:szCs w:val="22"/>
        </w:rPr>
        <w:t xml:space="preserve">Den samlede kørsel andrager </w:t>
      </w:r>
      <w:r w:rsidRPr="004F15D6">
        <w:rPr>
          <w:rFonts w:ascii="Calibri" w:hAnsi="Calibri" w:cs="Calibri"/>
          <w:sz w:val="22"/>
          <w:szCs w:val="22"/>
          <w:u w:val="single"/>
        </w:rPr>
        <w:t>fast kørsel</w:t>
      </w:r>
      <w:r>
        <w:rPr>
          <w:rFonts w:ascii="Calibri" w:hAnsi="Calibri" w:cs="Calibri"/>
          <w:sz w:val="22"/>
          <w:szCs w:val="22"/>
        </w:rPr>
        <w:t xml:space="preserve"> 2 gange om ugen og lejlighedsvis 3 til 4 gange pr. uge. Som udgangspunkt foretages kørsel i 4 eller 5 timers varighed, men den enkelte kørsel kan andrage et mindre eller større antal timer. </w:t>
      </w:r>
    </w:p>
    <w:p w:rsidR="004F15D6" w:rsidRDefault="004F15D6" w:rsidP="004F15D6">
      <w:pPr>
        <w:pStyle w:val="Default"/>
        <w:rPr>
          <w:rFonts w:ascii="Calibri" w:hAnsi="Calibri" w:cs="Calibri"/>
          <w:sz w:val="22"/>
          <w:szCs w:val="22"/>
        </w:rPr>
      </w:pPr>
    </w:p>
    <w:p w:rsidR="004F15D6" w:rsidRDefault="004F15D6" w:rsidP="004F15D6">
      <w:pPr>
        <w:pStyle w:val="Default"/>
        <w:rPr>
          <w:rFonts w:ascii="Calibri" w:hAnsi="Calibri" w:cs="Calibri"/>
          <w:sz w:val="22"/>
          <w:szCs w:val="22"/>
        </w:rPr>
      </w:pPr>
      <w:r>
        <w:rPr>
          <w:rFonts w:ascii="Calibri" w:hAnsi="Calibri" w:cs="Calibri"/>
          <w:sz w:val="22"/>
          <w:szCs w:val="22"/>
        </w:rPr>
        <w:t xml:space="preserve">Retten udarbejder </w:t>
      </w:r>
      <w:r w:rsidRPr="004F15D6">
        <w:rPr>
          <w:rFonts w:ascii="Calibri" w:hAnsi="Calibri" w:cs="Calibri"/>
          <w:sz w:val="22"/>
          <w:szCs w:val="22"/>
          <w:u w:val="single"/>
        </w:rPr>
        <w:t>køreplan</w:t>
      </w:r>
      <w:r>
        <w:rPr>
          <w:rFonts w:ascii="Calibri" w:hAnsi="Calibri" w:cs="Calibri"/>
          <w:sz w:val="22"/>
          <w:szCs w:val="22"/>
        </w:rPr>
        <w:t xml:space="preserve">, hvor turens forløb planlægges af retten med hensyntagen til geografien. Planen fremsendes til taxaselskabet senest kl. 14.00 dagen før kørslen, på en aftalt </w:t>
      </w:r>
      <w:r>
        <w:rPr>
          <w:rFonts w:ascii="Calibri" w:hAnsi="Calibri" w:cs="Calibri"/>
          <w:sz w:val="22"/>
          <w:szCs w:val="22"/>
          <w:u w:val="single"/>
        </w:rPr>
        <w:t>e-mail</w:t>
      </w:r>
      <w:r w:rsidRPr="004F15D6">
        <w:rPr>
          <w:rFonts w:ascii="Calibri" w:hAnsi="Calibri" w:cs="Calibri"/>
          <w:sz w:val="22"/>
          <w:szCs w:val="22"/>
          <w:u w:val="single"/>
        </w:rPr>
        <w:t>adresse.</w:t>
      </w:r>
      <w:r>
        <w:rPr>
          <w:rFonts w:ascii="Calibri" w:hAnsi="Calibri" w:cs="Calibri"/>
          <w:sz w:val="22"/>
          <w:szCs w:val="22"/>
        </w:rPr>
        <w:t xml:space="preserve"> Taxaselskabet er forpligtet til at downloade rettens certifikater, således at parterne kan korrespondere via sikker e-mail. Vejledning i installation af sikker e-mail er tilgængelig på rettens hjemmeside</w:t>
      </w:r>
      <w:r w:rsidRPr="004F15D6">
        <w:rPr>
          <w:rFonts w:ascii="Calibri" w:hAnsi="Calibri" w:cs="Calibri"/>
          <w:sz w:val="22"/>
          <w:szCs w:val="22"/>
          <w:u w:val="single"/>
        </w:rPr>
        <w:t xml:space="preserve"> www.domstol.dk/roskilde</w:t>
      </w:r>
      <w:r>
        <w:rPr>
          <w:rFonts w:ascii="Calibri" w:hAnsi="Calibri" w:cs="Calibri"/>
          <w:sz w:val="22"/>
          <w:szCs w:val="22"/>
        </w:rPr>
        <w:t xml:space="preserve">. Kommunikation kan tillige ske via </w:t>
      </w:r>
      <w:r w:rsidRPr="004F15D6">
        <w:rPr>
          <w:rFonts w:ascii="Calibri" w:hAnsi="Calibri" w:cs="Calibri"/>
          <w:sz w:val="22"/>
          <w:szCs w:val="22"/>
          <w:u w:val="single"/>
        </w:rPr>
        <w:t>www.virk.dk</w:t>
      </w:r>
      <w:r>
        <w:rPr>
          <w:rFonts w:ascii="Calibri" w:hAnsi="Calibri" w:cs="Calibri"/>
          <w:sz w:val="22"/>
          <w:szCs w:val="22"/>
        </w:rPr>
        <w:t xml:space="preserve">. </w:t>
      </w:r>
    </w:p>
    <w:p w:rsidR="004F15D6" w:rsidRDefault="004F15D6" w:rsidP="004F15D6">
      <w:pPr>
        <w:pStyle w:val="Default"/>
        <w:rPr>
          <w:rFonts w:ascii="Calibri" w:hAnsi="Calibri" w:cs="Calibri"/>
          <w:sz w:val="22"/>
          <w:szCs w:val="22"/>
        </w:rPr>
      </w:pPr>
    </w:p>
    <w:p w:rsidR="004F15D6" w:rsidRDefault="004F15D6" w:rsidP="004F15D6">
      <w:pPr>
        <w:pStyle w:val="Default"/>
        <w:rPr>
          <w:rFonts w:ascii="Calibri" w:hAnsi="Calibri" w:cs="Calibri"/>
          <w:sz w:val="22"/>
          <w:szCs w:val="22"/>
        </w:rPr>
      </w:pPr>
      <w:r>
        <w:rPr>
          <w:rFonts w:ascii="Calibri" w:hAnsi="Calibri" w:cs="Calibri"/>
          <w:sz w:val="22"/>
          <w:szCs w:val="22"/>
        </w:rPr>
        <w:t xml:space="preserve">Bilen møder sædvanligvis op ved rettens lokaler (anvises i forbindelse med køreplanens fremsendelse sammen med mødetidspunkt). Mødetidspunktet er sædvanligvis mellem kl. 08.30 – 09.00. </w:t>
      </w:r>
    </w:p>
    <w:p w:rsidR="004F15D6" w:rsidRDefault="004F15D6" w:rsidP="004F15D6">
      <w:pPr>
        <w:pStyle w:val="Default"/>
        <w:rPr>
          <w:rFonts w:ascii="Calibri" w:hAnsi="Calibri" w:cs="Calibri"/>
          <w:sz w:val="22"/>
          <w:szCs w:val="22"/>
        </w:rPr>
      </w:pPr>
      <w:r>
        <w:rPr>
          <w:rFonts w:ascii="Calibri" w:hAnsi="Calibri" w:cs="Calibri"/>
          <w:sz w:val="22"/>
          <w:szCs w:val="22"/>
        </w:rPr>
        <w:t xml:space="preserve">Rettens lokaler er beliggende Ved Ringen 1, 4000 Roskilde. </w:t>
      </w:r>
    </w:p>
    <w:p w:rsidR="004F15D6" w:rsidRDefault="004F15D6" w:rsidP="004F15D6">
      <w:pPr>
        <w:pStyle w:val="Default"/>
        <w:rPr>
          <w:rFonts w:ascii="Calibri" w:hAnsi="Calibri" w:cs="Calibri"/>
          <w:b/>
          <w:bCs/>
          <w:sz w:val="22"/>
          <w:szCs w:val="22"/>
        </w:rPr>
      </w:pPr>
    </w:p>
    <w:p w:rsidR="004F15D6" w:rsidRDefault="004F15D6" w:rsidP="004F15D6">
      <w:pPr>
        <w:pStyle w:val="Default"/>
        <w:rPr>
          <w:rFonts w:ascii="Calibri" w:hAnsi="Calibri" w:cs="Calibri"/>
          <w:sz w:val="22"/>
          <w:szCs w:val="22"/>
        </w:rPr>
      </w:pPr>
      <w:r>
        <w:rPr>
          <w:rFonts w:ascii="Calibri" w:hAnsi="Calibri" w:cs="Calibri"/>
          <w:b/>
          <w:bCs/>
          <w:sz w:val="22"/>
          <w:szCs w:val="22"/>
        </w:rPr>
        <w:t xml:space="preserve">Særlige kørsler </w:t>
      </w:r>
    </w:p>
    <w:p w:rsidR="004F15D6" w:rsidRDefault="004F15D6" w:rsidP="004F15D6">
      <w:pPr>
        <w:pStyle w:val="Default"/>
        <w:rPr>
          <w:rFonts w:ascii="Calibri" w:hAnsi="Calibri" w:cs="Calibri"/>
          <w:sz w:val="22"/>
          <w:szCs w:val="22"/>
        </w:rPr>
      </w:pPr>
      <w:r>
        <w:rPr>
          <w:rFonts w:ascii="Calibri" w:hAnsi="Calibri" w:cs="Calibri"/>
          <w:sz w:val="22"/>
          <w:szCs w:val="22"/>
        </w:rPr>
        <w:t xml:space="preserve">Det står retten frit at foretage taxakørsel med anden leverandør i de tilfælde, hvor kørslen har en kort varighed (typisk inden for Roskilde), eller hvor kørslen er af hastende karakter (typisk notarialforretninger, hvor testator er alvorligt syg eller døende, eller fogedforretninger af hastende karakter, f.eks. børnebortførelser). </w:t>
      </w:r>
    </w:p>
    <w:p w:rsidR="004F15D6" w:rsidRDefault="004F15D6" w:rsidP="004F15D6">
      <w:pPr>
        <w:pStyle w:val="Default"/>
        <w:rPr>
          <w:rFonts w:ascii="Calibri" w:hAnsi="Calibri" w:cs="Calibri"/>
          <w:sz w:val="22"/>
          <w:szCs w:val="22"/>
        </w:rPr>
      </w:pPr>
    </w:p>
    <w:p w:rsidR="004F15D6" w:rsidRDefault="004F15D6" w:rsidP="004F15D6">
      <w:pPr>
        <w:pStyle w:val="Default"/>
        <w:rPr>
          <w:rFonts w:ascii="Calibri" w:hAnsi="Calibri" w:cs="Calibri"/>
          <w:sz w:val="22"/>
          <w:szCs w:val="22"/>
        </w:rPr>
      </w:pPr>
      <w:r>
        <w:rPr>
          <w:rFonts w:ascii="Calibri" w:hAnsi="Calibri" w:cs="Calibri"/>
          <w:b/>
          <w:bCs/>
          <w:sz w:val="22"/>
          <w:szCs w:val="22"/>
        </w:rPr>
        <w:t xml:space="preserve">Afregning </w:t>
      </w:r>
    </w:p>
    <w:p w:rsidR="004F15D6" w:rsidRDefault="004F15D6" w:rsidP="004F15D6">
      <w:pPr>
        <w:pStyle w:val="Default"/>
        <w:rPr>
          <w:rFonts w:ascii="Calibri" w:hAnsi="Calibri" w:cs="Calibri"/>
          <w:sz w:val="22"/>
          <w:szCs w:val="22"/>
        </w:rPr>
      </w:pPr>
      <w:r>
        <w:rPr>
          <w:rFonts w:ascii="Calibri" w:hAnsi="Calibri" w:cs="Calibri"/>
          <w:sz w:val="22"/>
          <w:szCs w:val="22"/>
        </w:rPr>
        <w:t xml:space="preserve">Alle kørsler skal afregnes med rekvirenten direkte og der sker således ingen afregning med retten. </w:t>
      </w:r>
    </w:p>
    <w:p w:rsidR="004F15D6" w:rsidRDefault="004F15D6" w:rsidP="004F15D6">
      <w:pPr>
        <w:pStyle w:val="Default"/>
        <w:rPr>
          <w:rFonts w:ascii="Calibri" w:hAnsi="Calibri" w:cs="Calibri"/>
          <w:sz w:val="22"/>
          <w:szCs w:val="22"/>
        </w:rPr>
      </w:pPr>
    </w:p>
    <w:p w:rsidR="004F15D6" w:rsidRDefault="004F15D6" w:rsidP="004F15D6">
      <w:pPr>
        <w:pStyle w:val="Default"/>
        <w:rPr>
          <w:rFonts w:ascii="Calibri" w:hAnsi="Calibri" w:cs="Calibri"/>
          <w:sz w:val="32"/>
          <w:szCs w:val="32"/>
        </w:rPr>
      </w:pPr>
      <w:r>
        <w:rPr>
          <w:rFonts w:ascii="Calibri" w:hAnsi="Calibri" w:cs="Calibri"/>
          <w:sz w:val="22"/>
          <w:szCs w:val="22"/>
        </w:rPr>
        <w:t>Rekvirent af de pågældende sager ved retten er typisk advokater, inkassovirksomheder eller andre professionelle aktører. I notarialforretninger kan rekvirenten være en privatperson. I boligretssager kan rekvirenten være retten.</w:t>
      </w:r>
      <w:r w:rsidR="004509A3">
        <w:rPr>
          <w:rFonts w:ascii="Calibri" w:hAnsi="Calibri" w:cs="Calibri"/>
          <w:sz w:val="22"/>
          <w:szCs w:val="22"/>
        </w:rPr>
        <w:t xml:space="preserve"> </w:t>
      </w:r>
      <w:r>
        <w:rPr>
          <w:rFonts w:ascii="Calibri" w:hAnsi="Calibri" w:cs="Calibri"/>
          <w:sz w:val="32"/>
          <w:szCs w:val="32"/>
        </w:rPr>
        <w:t xml:space="preserve"> </w:t>
      </w:r>
    </w:p>
    <w:p w:rsidR="004F15D6" w:rsidRDefault="004F15D6" w:rsidP="004F15D6">
      <w:pPr>
        <w:pStyle w:val="Default"/>
        <w:pageBreakBefore/>
        <w:rPr>
          <w:rFonts w:ascii="Calibri" w:hAnsi="Calibri" w:cs="Calibri"/>
          <w:sz w:val="22"/>
          <w:szCs w:val="22"/>
        </w:rPr>
      </w:pPr>
      <w:bookmarkStart w:id="0" w:name="_GoBack"/>
      <w:bookmarkEnd w:id="0"/>
      <w:r>
        <w:rPr>
          <w:rFonts w:ascii="Calibri" w:hAnsi="Calibri" w:cs="Calibri"/>
          <w:sz w:val="22"/>
          <w:szCs w:val="22"/>
        </w:rPr>
        <w:lastRenderedPageBreak/>
        <w:t xml:space="preserve">I de tilfælde, hvor en kørselsdag omfatter flere rekvirenter, foretager </w:t>
      </w:r>
      <w:r w:rsidRPr="004F15D6">
        <w:rPr>
          <w:rFonts w:ascii="Calibri" w:hAnsi="Calibri" w:cs="Calibri"/>
          <w:sz w:val="22"/>
          <w:szCs w:val="22"/>
          <w:u w:val="single"/>
        </w:rPr>
        <w:t>retten en fordeling</w:t>
      </w:r>
      <w:r>
        <w:rPr>
          <w:rFonts w:ascii="Calibri" w:hAnsi="Calibri" w:cs="Calibri"/>
          <w:sz w:val="22"/>
          <w:szCs w:val="22"/>
        </w:rPr>
        <w:t xml:space="preserve"> mellem rekvirenterne, fastlagt efter den tid, som køreturen har taget for så vidt angår den enkelte rekvirent.</w:t>
      </w:r>
    </w:p>
    <w:p w:rsidR="004F15D6" w:rsidRDefault="004F15D6" w:rsidP="004F15D6">
      <w:pPr>
        <w:pStyle w:val="Default"/>
        <w:rPr>
          <w:rFonts w:ascii="Calibri" w:hAnsi="Calibri" w:cs="Calibri"/>
          <w:sz w:val="22"/>
          <w:szCs w:val="22"/>
        </w:rPr>
      </w:pPr>
    </w:p>
    <w:p w:rsidR="004F15D6" w:rsidRDefault="004F15D6" w:rsidP="004F15D6">
      <w:pPr>
        <w:pStyle w:val="Default"/>
        <w:rPr>
          <w:rFonts w:ascii="Calibri" w:hAnsi="Calibri" w:cs="Calibri"/>
          <w:sz w:val="22"/>
          <w:szCs w:val="22"/>
        </w:rPr>
      </w:pPr>
      <w:r>
        <w:rPr>
          <w:rFonts w:ascii="Calibri" w:hAnsi="Calibri" w:cs="Calibri"/>
          <w:sz w:val="22"/>
          <w:szCs w:val="22"/>
        </w:rPr>
        <w:t xml:space="preserve">Taxaselskabet skal være indstillet på at indgå i dialog med retten, såfremt en rekvirent retter henvendelse til retten med spørgsmål eller indsigelser til en fra taxaselskabet foretaget kørsel eller fremsendt afregning. </w:t>
      </w:r>
    </w:p>
    <w:p w:rsidR="004F15D6" w:rsidRDefault="004F15D6" w:rsidP="004F15D6">
      <w:pPr>
        <w:rPr>
          <w:rFonts w:ascii="Calibri" w:hAnsi="Calibri" w:cs="Calibri"/>
        </w:rPr>
      </w:pPr>
    </w:p>
    <w:p w:rsidR="00357CE6" w:rsidRDefault="004F15D6" w:rsidP="00357CE6">
      <w:pPr>
        <w:pStyle w:val="Default"/>
        <w:pageBreakBefore/>
        <w:rPr>
          <w:rFonts w:ascii="Calibri" w:hAnsi="Calibri" w:cs="Calibri"/>
          <w:sz w:val="22"/>
          <w:szCs w:val="22"/>
        </w:rPr>
      </w:pPr>
      <w:r>
        <w:rPr>
          <w:rFonts w:ascii="Calibri" w:hAnsi="Calibri" w:cs="Calibri"/>
        </w:rPr>
        <w:lastRenderedPageBreak/>
        <w:t xml:space="preserve">Retten stiller </w:t>
      </w:r>
      <w:r w:rsidRPr="004F15D6">
        <w:rPr>
          <w:rFonts w:ascii="Calibri" w:hAnsi="Calibri" w:cs="Calibri"/>
          <w:u w:val="single"/>
        </w:rPr>
        <w:t>krav</w:t>
      </w:r>
      <w:r>
        <w:rPr>
          <w:rFonts w:ascii="Calibri" w:hAnsi="Calibri" w:cs="Calibri"/>
        </w:rPr>
        <w:t xml:space="preserve"> til de af taxaselskabet anvendte </w:t>
      </w:r>
      <w:r w:rsidRPr="004F15D6">
        <w:rPr>
          <w:rFonts w:ascii="Calibri" w:hAnsi="Calibri" w:cs="Calibri"/>
          <w:u w:val="single"/>
        </w:rPr>
        <w:t>køretøjer og chauffører</w:t>
      </w:r>
      <w:r>
        <w:rPr>
          <w:rFonts w:ascii="Calibri" w:hAnsi="Calibri" w:cs="Calibri"/>
        </w:rPr>
        <w:t>. Kravene fremgår af udkast til kontrakt.</w:t>
      </w:r>
      <w:r w:rsidR="00357CE6" w:rsidRPr="00357CE6">
        <w:rPr>
          <w:rFonts w:ascii="Calibri" w:hAnsi="Calibri" w:cs="Calibri"/>
          <w:sz w:val="22"/>
          <w:szCs w:val="22"/>
        </w:rPr>
        <w:t xml:space="preserve"> </w:t>
      </w:r>
      <w:r w:rsidR="00357CE6">
        <w:rPr>
          <w:rFonts w:ascii="Calibri" w:hAnsi="Calibri" w:cs="Calibri"/>
          <w:sz w:val="22"/>
          <w:szCs w:val="22"/>
        </w:rPr>
        <w:t xml:space="preserve">I de tilfælde, hvor en kørselsdag omfatter flere rekvirenter, foretager </w:t>
      </w:r>
      <w:r w:rsidR="00357CE6" w:rsidRPr="004F15D6">
        <w:rPr>
          <w:rFonts w:ascii="Calibri" w:hAnsi="Calibri" w:cs="Calibri"/>
          <w:sz w:val="22"/>
          <w:szCs w:val="22"/>
          <w:u w:val="single"/>
        </w:rPr>
        <w:t>retten en fordeling</w:t>
      </w:r>
      <w:r w:rsidR="00357CE6">
        <w:rPr>
          <w:rFonts w:ascii="Calibri" w:hAnsi="Calibri" w:cs="Calibri"/>
          <w:sz w:val="22"/>
          <w:szCs w:val="22"/>
        </w:rPr>
        <w:t xml:space="preserve"> mellem rekvirenterne, fastlagt efter den tid, som køreturen har taget for så vidt angår den enkelte rekvirent.</w:t>
      </w:r>
    </w:p>
    <w:p w:rsidR="004F15D6" w:rsidRDefault="004F15D6" w:rsidP="004F15D6"/>
    <w:p w:rsidR="004F15D6" w:rsidRDefault="004F15D6" w:rsidP="004F15D6">
      <w:pPr>
        <w:pStyle w:val="Default"/>
        <w:pageBreakBefore/>
        <w:rPr>
          <w:rFonts w:ascii="Calibri" w:hAnsi="Calibri" w:cs="Calibri"/>
          <w:sz w:val="22"/>
          <w:szCs w:val="22"/>
        </w:rPr>
      </w:pPr>
    </w:p>
    <w:sectPr w:rsidR="004F15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6CA"/>
    <w:multiLevelType w:val="hybridMultilevel"/>
    <w:tmpl w:val="BB10CE66"/>
    <w:lvl w:ilvl="0" w:tplc="04060001">
      <w:start w:val="1"/>
      <w:numFmt w:val="bullet"/>
      <w:lvlText w:val=""/>
      <w:lvlJc w:val="left"/>
      <w:pPr>
        <w:ind w:left="764" w:hanging="360"/>
      </w:pPr>
      <w:rPr>
        <w:rFonts w:ascii="Symbol" w:hAnsi="Symbol" w:hint="default"/>
      </w:rPr>
    </w:lvl>
    <w:lvl w:ilvl="1" w:tplc="04060003" w:tentative="1">
      <w:start w:val="1"/>
      <w:numFmt w:val="bullet"/>
      <w:lvlText w:val="o"/>
      <w:lvlJc w:val="left"/>
      <w:pPr>
        <w:ind w:left="1484" w:hanging="360"/>
      </w:pPr>
      <w:rPr>
        <w:rFonts w:ascii="Courier New" w:hAnsi="Courier New" w:cs="Courier New" w:hint="default"/>
      </w:rPr>
    </w:lvl>
    <w:lvl w:ilvl="2" w:tplc="04060005" w:tentative="1">
      <w:start w:val="1"/>
      <w:numFmt w:val="bullet"/>
      <w:lvlText w:val=""/>
      <w:lvlJc w:val="left"/>
      <w:pPr>
        <w:ind w:left="2204" w:hanging="360"/>
      </w:pPr>
      <w:rPr>
        <w:rFonts w:ascii="Wingdings" w:hAnsi="Wingdings" w:hint="default"/>
      </w:rPr>
    </w:lvl>
    <w:lvl w:ilvl="3" w:tplc="04060001" w:tentative="1">
      <w:start w:val="1"/>
      <w:numFmt w:val="bullet"/>
      <w:lvlText w:val=""/>
      <w:lvlJc w:val="left"/>
      <w:pPr>
        <w:ind w:left="2924" w:hanging="360"/>
      </w:pPr>
      <w:rPr>
        <w:rFonts w:ascii="Symbol" w:hAnsi="Symbol" w:hint="default"/>
      </w:rPr>
    </w:lvl>
    <w:lvl w:ilvl="4" w:tplc="04060003" w:tentative="1">
      <w:start w:val="1"/>
      <w:numFmt w:val="bullet"/>
      <w:lvlText w:val="o"/>
      <w:lvlJc w:val="left"/>
      <w:pPr>
        <w:ind w:left="3644" w:hanging="360"/>
      </w:pPr>
      <w:rPr>
        <w:rFonts w:ascii="Courier New" w:hAnsi="Courier New" w:cs="Courier New" w:hint="default"/>
      </w:rPr>
    </w:lvl>
    <w:lvl w:ilvl="5" w:tplc="04060005" w:tentative="1">
      <w:start w:val="1"/>
      <w:numFmt w:val="bullet"/>
      <w:lvlText w:val=""/>
      <w:lvlJc w:val="left"/>
      <w:pPr>
        <w:ind w:left="4364" w:hanging="360"/>
      </w:pPr>
      <w:rPr>
        <w:rFonts w:ascii="Wingdings" w:hAnsi="Wingdings" w:hint="default"/>
      </w:rPr>
    </w:lvl>
    <w:lvl w:ilvl="6" w:tplc="04060001" w:tentative="1">
      <w:start w:val="1"/>
      <w:numFmt w:val="bullet"/>
      <w:lvlText w:val=""/>
      <w:lvlJc w:val="left"/>
      <w:pPr>
        <w:ind w:left="5084" w:hanging="360"/>
      </w:pPr>
      <w:rPr>
        <w:rFonts w:ascii="Symbol" w:hAnsi="Symbol" w:hint="default"/>
      </w:rPr>
    </w:lvl>
    <w:lvl w:ilvl="7" w:tplc="04060003" w:tentative="1">
      <w:start w:val="1"/>
      <w:numFmt w:val="bullet"/>
      <w:lvlText w:val="o"/>
      <w:lvlJc w:val="left"/>
      <w:pPr>
        <w:ind w:left="5804" w:hanging="360"/>
      </w:pPr>
      <w:rPr>
        <w:rFonts w:ascii="Courier New" w:hAnsi="Courier New" w:cs="Courier New" w:hint="default"/>
      </w:rPr>
    </w:lvl>
    <w:lvl w:ilvl="8" w:tplc="04060005" w:tentative="1">
      <w:start w:val="1"/>
      <w:numFmt w:val="bullet"/>
      <w:lvlText w:val=""/>
      <w:lvlJc w:val="left"/>
      <w:pPr>
        <w:ind w:left="6524" w:hanging="360"/>
      </w:pPr>
      <w:rPr>
        <w:rFonts w:ascii="Wingdings" w:hAnsi="Wingdings" w:hint="default"/>
      </w:rPr>
    </w:lvl>
  </w:abstractNum>
  <w:abstractNum w:abstractNumId="1" w15:restartNumberingAfterBreak="0">
    <w:nsid w:val="26EA1666"/>
    <w:multiLevelType w:val="hybridMultilevel"/>
    <w:tmpl w:val="FA58C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B93B8A"/>
    <w:multiLevelType w:val="hybridMultilevel"/>
    <w:tmpl w:val="C52E2E4A"/>
    <w:lvl w:ilvl="0" w:tplc="7DB878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C862F8B"/>
    <w:multiLevelType w:val="hybridMultilevel"/>
    <w:tmpl w:val="4954A222"/>
    <w:lvl w:ilvl="0" w:tplc="7DB878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1B06C0E"/>
    <w:multiLevelType w:val="hybridMultilevel"/>
    <w:tmpl w:val="6BA06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D6"/>
    <w:rsid w:val="0035155E"/>
    <w:rsid w:val="00357CE6"/>
    <w:rsid w:val="004509A3"/>
    <w:rsid w:val="004F15D6"/>
    <w:rsid w:val="00BB78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52F3"/>
  <w15:chartTrackingRefBased/>
  <w15:docId w15:val="{EC1229C0-C87D-467A-9823-1308446C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F15D6"/>
    <w:pPr>
      <w:autoSpaceDE w:val="0"/>
      <w:autoSpaceDN w:val="0"/>
      <w:adjustRightInd w:val="0"/>
      <w:spacing w:after="0" w:line="240" w:lineRule="auto"/>
    </w:pPr>
    <w:rPr>
      <w:rFonts w:ascii="Cambria" w:hAnsi="Cambria" w:cs="Cambria"/>
      <w:color w:val="000000"/>
      <w:sz w:val="24"/>
      <w:szCs w:val="24"/>
    </w:rPr>
  </w:style>
  <w:style w:type="paragraph" w:styleId="Markeringsbobletekst">
    <w:name w:val="Balloon Text"/>
    <w:basedOn w:val="Normal"/>
    <w:link w:val="MarkeringsbobletekstTegn"/>
    <w:uiPriority w:val="99"/>
    <w:semiHidden/>
    <w:unhideWhenUsed/>
    <w:rsid w:val="004509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50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9C9B3-79C5-4282-933B-22713419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431</Words>
  <Characters>2632</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Molter Zenth</dc:creator>
  <cp:keywords/>
  <dc:description/>
  <cp:lastModifiedBy>Lisbeth Molter Zenth</cp:lastModifiedBy>
  <cp:revision>3</cp:revision>
  <cp:lastPrinted>2017-06-15T10:59:00Z</cp:lastPrinted>
  <dcterms:created xsi:type="dcterms:W3CDTF">2017-06-15T09:47:00Z</dcterms:created>
  <dcterms:modified xsi:type="dcterms:W3CDTF">2017-06-15T11:38:00Z</dcterms:modified>
</cp:coreProperties>
</file>