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2686" w14:textId="1D60B4A0" w:rsidR="00FA115F" w:rsidRDefault="00FA115F" w:rsidP="004701B3">
      <w:r w:rsidRPr="00433D34">
        <w:rPr>
          <w:noProof/>
        </w:rPr>
        <w:t xml:space="preserve"> </w:t>
      </w:r>
    </w:p>
    <w:p w14:paraId="73D3B4DA" w14:textId="21FE0E15" w:rsidR="00FA115F" w:rsidRDefault="00FA115F" w:rsidP="004701B3">
      <w:r w:rsidRPr="00433D34">
        <w:rPr>
          <w:noProof/>
        </w:rPr>
        <w:drawing>
          <wp:anchor distT="0" distB="0" distL="114300" distR="114300" simplePos="0" relativeHeight="251659264" behindDoc="0" locked="0" layoutInCell="1" allowOverlap="1" wp14:anchorId="4ACFD233" wp14:editId="08F4BF72">
            <wp:simplePos x="0" y="0"/>
            <wp:positionH relativeFrom="page">
              <wp:posOffset>982259</wp:posOffset>
            </wp:positionH>
            <wp:positionV relativeFrom="page">
              <wp:posOffset>1616710</wp:posOffset>
            </wp:positionV>
            <wp:extent cx="6106179" cy="6300996"/>
            <wp:effectExtent l="0" t="0" r="8890" b="5080"/>
            <wp:wrapNone/>
            <wp:docPr id="39" name="BANE_Hvid_FORSIDE" descr="\\SOSA\Data\Informatique Sverige\Kunder\Banedanmark\Nyt design, efterår 2020\Grafik\Rapport forside\bane\bane_h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ANE_Hvid_FORSIDE" descr="\\SOSA\Data\Informatique Sverige\Kunder\Banedanmark\Nyt design, efterår 2020\Grafik\Rapport forside\bane\bane_hvi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179" cy="6300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55">
        <w:rPr>
          <w:noProof/>
        </w:rPr>
        <w:drawing>
          <wp:anchor distT="0" distB="0" distL="114300" distR="114300" simplePos="0" relativeHeight="251658239" behindDoc="0" locked="0" layoutInCell="1" allowOverlap="1" wp14:anchorId="41316139" wp14:editId="1CDF6088">
            <wp:simplePos x="0" y="0"/>
            <wp:positionH relativeFrom="margin">
              <wp:align>left</wp:align>
            </wp:positionH>
            <wp:positionV relativeFrom="topMargin">
              <wp:posOffset>1583055</wp:posOffset>
            </wp:positionV>
            <wp:extent cx="6334125" cy="6334125"/>
            <wp:effectExtent l="0" t="0" r="9525" b="9525"/>
            <wp:wrapTopAndBottom/>
            <wp:docPr id="7" name="Billede 7" descr="\\SOSA\Data\Informatique Sverige\Kunder\Banedanmark\Nyt design, efterår 2020\Grafik\Rapport forside\F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Data\Informatique Sverige\Kunder\Banedanmark\Nyt design, efterår 2020\Grafik\Rapport forside\Foto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84F3F" w14:textId="77777777" w:rsidR="001979DF" w:rsidRDefault="001979DF" w:rsidP="001979DF">
      <w:pPr>
        <w:pStyle w:val="Titel"/>
      </w:pPr>
      <w:r>
        <w:t>Aftale om sporskæring (”</w:t>
      </w:r>
      <w:proofErr w:type="spellStart"/>
      <w:r>
        <w:t>diamond</w:t>
      </w:r>
      <w:proofErr w:type="spellEnd"/>
      <w:r>
        <w:t xml:space="preserve"> </w:t>
      </w:r>
      <w:proofErr w:type="spellStart"/>
      <w:r>
        <w:t>crossing</w:t>
      </w:r>
      <w:proofErr w:type="spellEnd"/>
      <w:r>
        <w:t>”) til Høje Taastrup Station</w:t>
      </w:r>
    </w:p>
    <w:p w14:paraId="7C29D6DC" w14:textId="77777777" w:rsidR="004F24D9" w:rsidRDefault="004F24D9">
      <w:pPr>
        <w:spacing w:after="160" w:line="259" w:lineRule="auto"/>
        <w:jc w:val="left"/>
        <w:rPr>
          <w:rFonts w:ascii="Segoe UI" w:eastAsiaTheme="majorEastAsia" w:hAnsi="Segoe UI" w:cstheme="majorBidi"/>
          <w:b/>
          <w:spacing w:val="-10"/>
          <w:kern w:val="28"/>
          <w:sz w:val="52"/>
          <w:szCs w:val="52"/>
          <w:lang w:eastAsia="en-US"/>
        </w:rPr>
      </w:pPr>
      <w:r>
        <w:br w:type="page"/>
      </w:r>
    </w:p>
    <w:p w14:paraId="031DD4E0" w14:textId="1A73AF62" w:rsidR="004701B3" w:rsidRDefault="00CC64CD" w:rsidP="00332981">
      <w:pPr>
        <w:pStyle w:val="Titel"/>
      </w:pPr>
      <w:r>
        <w:lastRenderedPageBreak/>
        <w:t>Aftale</w:t>
      </w:r>
      <w:r w:rsidR="004701B3">
        <w:t xml:space="preserve"> om</w:t>
      </w:r>
      <w:r w:rsidR="00332981">
        <w:t xml:space="preserve"> </w:t>
      </w:r>
      <w:r w:rsidR="00D15BD8">
        <w:t>sporskæring (”</w:t>
      </w:r>
      <w:proofErr w:type="spellStart"/>
      <w:r w:rsidR="00D15BD8">
        <w:t>diamond</w:t>
      </w:r>
      <w:proofErr w:type="spellEnd"/>
      <w:r w:rsidR="00D15BD8">
        <w:t xml:space="preserve"> </w:t>
      </w:r>
      <w:proofErr w:type="spellStart"/>
      <w:r w:rsidR="00D15BD8">
        <w:t>crossing</w:t>
      </w:r>
      <w:proofErr w:type="spellEnd"/>
      <w:r w:rsidR="00D15BD8">
        <w:t>”) til Høje Taastrup Station</w:t>
      </w:r>
    </w:p>
    <w:p w14:paraId="01A0C2D7" w14:textId="448CEB78" w:rsidR="00A62EFC" w:rsidRDefault="00332981">
      <w:pPr>
        <w:pStyle w:val="Indholdsfortegnelse1"/>
        <w:tabs>
          <w:tab w:val="left" w:pos="660"/>
          <w:tab w:val="right" w:leader="dot" w:pos="9628"/>
        </w:tabs>
        <w:rPr>
          <w:rFonts w:asciiTheme="minorHAnsi" w:eastAsiaTheme="minorEastAsia" w:hAnsiTheme="minorHAnsi" w:cstheme="minorBidi"/>
          <w:noProof/>
          <w:szCs w:val="22"/>
        </w:rPr>
      </w:pPr>
      <w:r>
        <w:rPr>
          <w:lang w:eastAsia="en-US"/>
        </w:rPr>
        <w:fldChar w:fldCharType="begin"/>
      </w:r>
      <w:r>
        <w:rPr>
          <w:lang w:eastAsia="en-US"/>
        </w:rPr>
        <w:instrText xml:space="preserve"> TOC \o "1-1" \h \z \u </w:instrText>
      </w:r>
      <w:r>
        <w:rPr>
          <w:lang w:eastAsia="en-US"/>
        </w:rPr>
        <w:fldChar w:fldCharType="separate"/>
      </w:r>
      <w:hyperlink w:anchor="_Toc149726701" w:history="1">
        <w:r w:rsidR="00A62EFC" w:rsidRPr="00CF1F31">
          <w:rPr>
            <w:rStyle w:val="Hyperlink"/>
            <w:noProof/>
          </w:rPr>
          <w:t>§ 1</w:t>
        </w:r>
        <w:r w:rsidR="00A62EFC">
          <w:rPr>
            <w:rFonts w:asciiTheme="minorHAnsi" w:eastAsiaTheme="minorEastAsia" w:hAnsiTheme="minorHAnsi" w:cstheme="minorBidi"/>
            <w:noProof/>
            <w:szCs w:val="22"/>
          </w:rPr>
          <w:tab/>
        </w:r>
        <w:r w:rsidR="00A62EFC" w:rsidRPr="00CF1F31">
          <w:rPr>
            <w:rStyle w:val="Hyperlink"/>
            <w:noProof/>
          </w:rPr>
          <w:t>Parterne</w:t>
        </w:r>
        <w:r w:rsidR="00A62EFC">
          <w:rPr>
            <w:noProof/>
            <w:webHidden/>
          </w:rPr>
          <w:tab/>
        </w:r>
        <w:r w:rsidR="00A62EFC">
          <w:rPr>
            <w:noProof/>
            <w:webHidden/>
          </w:rPr>
          <w:fldChar w:fldCharType="begin"/>
        </w:r>
        <w:r w:rsidR="00A62EFC">
          <w:rPr>
            <w:noProof/>
            <w:webHidden/>
          </w:rPr>
          <w:instrText xml:space="preserve"> PAGEREF _Toc149726701 \h </w:instrText>
        </w:r>
        <w:r w:rsidR="00A62EFC">
          <w:rPr>
            <w:noProof/>
            <w:webHidden/>
          </w:rPr>
        </w:r>
        <w:r w:rsidR="00A62EFC">
          <w:rPr>
            <w:noProof/>
            <w:webHidden/>
          </w:rPr>
          <w:fldChar w:fldCharType="separate"/>
        </w:r>
        <w:r w:rsidR="00A62EFC">
          <w:rPr>
            <w:noProof/>
            <w:webHidden/>
          </w:rPr>
          <w:t>3</w:t>
        </w:r>
        <w:r w:rsidR="00A62EFC">
          <w:rPr>
            <w:noProof/>
            <w:webHidden/>
          </w:rPr>
          <w:fldChar w:fldCharType="end"/>
        </w:r>
      </w:hyperlink>
    </w:p>
    <w:p w14:paraId="0F5F55C6" w14:textId="62898810"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2" w:history="1">
        <w:r w:rsidR="00A62EFC" w:rsidRPr="00CF1F31">
          <w:rPr>
            <w:rStyle w:val="Hyperlink"/>
            <w:noProof/>
          </w:rPr>
          <w:t>§ 2</w:t>
        </w:r>
        <w:r w:rsidR="00A62EFC">
          <w:rPr>
            <w:rFonts w:asciiTheme="minorHAnsi" w:eastAsiaTheme="minorEastAsia" w:hAnsiTheme="minorHAnsi" w:cstheme="minorBidi"/>
            <w:noProof/>
            <w:szCs w:val="22"/>
          </w:rPr>
          <w:tab/>
        </w:r>
        <w:r w:rsidR="00A62EFC" w:rsidRPr="00CF1F31">
          <w:rPr>
            <w:rStyle w:val="Hyperlink"/>
            <w:noProof/>
          </w:rPr>
          <w:t>Aftalegrundlaget</w:t>
        </w:r>
        <w:r w:rsidR="00A62EFC">
          <w:rPr>
            <w:noProof/>
            <w:webHidden/>
          </w:rPr>
          <w:tab/>
        </w:r>
        <w:r w:rsidR="00A62EFC">
          <w:rPr>
            <w:noProof/>
            <w:webHidden/>
          </w:rPr>
          <w:fldChar w:fldCharType="begin"/>
        </w:r>
        <w:r w:rsidR="00A62EFC">
          <w:rPr>
            <w:noProof/>
            <w:webHidden/>
          </w:rPr>
          <w:instrText xml:space="preserve"> PAGEREF _Toc149726702 \h </w:instrText>
        </w:r>
        <w:r w:rsidR="00A62EFC">
          <w:rPr>
            <w:noProof/>
            <w:webHidden/>
          </w:rPr>
        </w:r>
        <w:r w:rsidR="00A62EFC">
          <w:rPr>
            <w:noProof/>
            <w:webHidden/>
          </w:rPr>
          <w:fldChar w:fldCharType="separate"/>
        </w:r>
        <w:r w:rsidR="00A62EFC">
          <w:rPr>
            <w:noProof/>
            <w:webHidden/>
          </w:rPr>
          <w:t>3</w:t>
        </w:r>
        <w:r w:rsidR="00A62EFC">
          <w:rPr>
            <w:noProof/>
            <w:webHidden/>
          </w:rPr>
          <w:fldChar w:fldCharType="end"/>
        </w:r>
      </w:hyperlink>
    </w:p>
    <w:p w14:paraId="576A5217" w14:textId="09ACE61F"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3" w:history="1">
        <w:r w:rsidR="00A62EFC" w:rsidRPr="00CF1F31">
          <w:rPr>
            <w:rStyle w:val="Hyperlink"/>
            <w:noProof/>
          </w:rPr>
          <w:t>§ 3</w:t>
        </w:r>
        <w:r w:rsidR="00A62EFC">
          <w:rPr>
            <w:rFonts w:asciiTheme="minorHAnsi" w:eastAsiaTheme="minorEastAsia" w:hAnsiTheme="minorHAnsi" w:cstheme="minorBidi"/>
            <w:noProof/>
            <w:szCs w:val="22"/>
          </w:rPr>
          <w:tab/>
        </w:r>
        <w:r w:rsidR="00A62EFC" w:rsidRPr="00CF1F31">
          <w:rPr>
            <w:rStyle w:val="Hyperlink"/>
            <w:noProof/>
          </w:rPr>
          <w:t>Aftalens omfang</w:t>
        </w:r>
        <w:r w:rsidR="00A62EFC">
          <w:rPr>
            <w:noProof/>
            <w:webHidden/>
          </w:rPr>
          <w:tab/>
        </w:r>
        <w:r w:rsidR="00A62EFC">
          <w:rPr>
            <w:noProof/>
            <w:webHidden/>
          </w:rPr>
          <w:fldChar w:fldCharType="begin"/>
        </w:r>
        <w:r w:rsidR="00A62EFC">
          <w:rPr>
            <w:noProof/>
            <w:webHidden/>
          </w:rPr>
          <w:instrText xml:space="preserve"> PAGEREF _Toc149726703 \h </w:instrText>
        </w:r>
        <w:r w:rsidR="00A62EFC">
          <w:rPr>
            <w:noProof/>
            <w:webHidden/>
          </w:rPr>
        </w:r>
        <w:r w:rsidR="00A62EFC">
          <w:rPr>
            <w:noProof/>
            <w:webHidden/>
          </w:rPr>
          <w:fldChar w:fldCharType="separate"/>
        </w:r>
        <w:r w:rsidR="00A62EFC">
          <w:rPr>
            <w:noProof/>
            <w:webHidden/>
          </w:rPr>
          <w:t>4</w:t>
        </w:r>
        <w:r w:rsidR="00A62EFC">
          <w:rPr>
            <w:noProof/>
            <w:webHidden/>
          </w:rPr>
          <w:fldChar w:fldCharType="end"/>
        </w:r>
      </w:hyperlink>
    </w:p>
    <w:p w14:paraId="24DC1470" w14:textId="1EA6E7C7"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4" w:history="1">
        <w:r w:rsidR="00A62EFC" w:rsidRPr="00CF1F31">
          <w:rPr>
            <w:rStyle w:val="Hyperlink"/>
            <w:noProof/>
          </w:rPr>
          <w:t>§ 4</w:t>
        </w:r>
        <w:r w:rsidR="00A62EFC">
          <w:rPr>
            <w:rFonts w:asciiTheme="minorHAnsi" w:eastAsiaTheme="minorEastAsia" w:hAnsiTheme="minorHAnsi" w:cstheme="minorBidi"/>
            <w:noProof/>
            <w:szCs w:val="22"/>
          </w:rPr>
          <w:tab/>
        </w:r>
        <w:r w:rsidR="00A62EFC" w:rsidRPr="00CF1F31">
          <w:rPr>
            <w:rStyle w:val="Hyperlink"/>
            <w:noProof/>
          </w:rPr>
          <w:t>Leverandørens ydelser og forpligtigelser</w:t>
        </w:r>
        <w:r w:rsidR="00A62EFC">
          <w:rPr>
            <w:noProof/>
            <w:webHidden/>
          </w:rPr>
          <w:tab/>
        </w:r>
        <w:r w:rsidR="00A62EFC">
          <w:rPr>
            <w:noProof/>
            <w:webHidden/>
          </w:rPr>
          <w:fldChar w:fldCharType="begin"/>
        </w:r>
        <w:r w:rsidR="00A62EFC">
          <w:rPr>
            <w:noProof/>
            <w:webHidden/>
          </w:rPr>
          <w:instrText xml:space="preserve"> PAGEREF _Toc149726704 \h </w:instrText>
        </w:r>
        <w:r w:rsidR="00A62EFC">
          <w:rPr>
            <w:noProof/>
            <w:webHidden/>
          </w:rPr>
        </w:r>
        <w:r w:rsidR="00A62EFC">
          <w:rPr>
            <w:noProof/>
            <w:webHidden/>
          </w:rPr>
          <w:fldChar w:fldCharType="separate"/>
        </w:r>
        <w:r w:rsidR="00A62EFC">
          <w:rPr>
            <w:noProof/>
            <w:webHidden/>
          </w:rPr>
          <w:t>4</w:t>
        </w:r>
        <w:r w:rsidR="00A62EFC">
          <w:rPr>
            <w:noProof/>
            <w:webHidden/>
          </w:rPr>
          <w:fldChar w:fldCharType="end"/>
        </w:r>
      </w:hyperlink>
    </w:p>
    <w:p w14:paraId="2A08C0D7" w14:textId="3B48E905"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5" w:history="1">
        <w:r w:rsidR="00A62EFC" w:rsidRPr="00CF1F31">
          <w:rPr>
            <w:rStyle w:val="Hyperlink"/>
            <w:noProof/>
          </w:rPr>
          <w:t>§ 5</w:t>
        </w:r>
        <w:r w:rsidR="00A62EFC">
          <w:rPr>
            <w:rFonts w:asciiTheme="minorHAnsi" w:eastAsiaTheme="minorEastAsia" w:hAnsiTheme="minorHAnsi" w:cstheme="minorBidi"/>
            <w:noProof/>
            <w:szCs w:val="22"/>
          </w:rPr>
          <w:tab/>
        </w:r>
        <w:r w:rsidR="00A62EFC" w:rsidRPr="00CF1F31">
          <w:rPr>
            <w:rStyle w:val="Hyperlink"/>
            <w:noProof/>
          </w:rPr>
          <w:t>Ikrafttrædelse og varighed</w:t>
        </w:r>
        <w:r w:rsidR="00A62EFC">
          <w:rPr>
            <w:noProof/>
            <w:webHidden/>
          </w:rPr>
          <w:tab/>
        </w:r>
        <w:r w:rsidR="00A62EFC">
          <w:rPr>
            <w:noProof/>
            <w:webHidden/>
          </w:rPr>
          <w:fldChar w:fldCharType="begin"/>
        </w:r>
        <w:r w:rsidR="00A62EFC">
          <w:rPr>
            <w:noProof/>
            <w:webHidden/>
          </w:rPr>
          <w:instrText xml:space="preserve"> PAGEREF _Toc149726705 \h </w:instrText>
        </w:r>
        <w:r w:rsidR="00A62EFC">
          <w:rPr>
            <w:noProof/>
            <w:webHidden/>
          </w:rPr>
        </w:r>
        <w:r w:rsidR="00A62EFC">
          <w:rPr>
            <w:noProof/>
            <w:webHidden/>
          </w:rPr>
          <w:fldChar w:fldCharType="separate"/>
        </w:r>
        <w:r w:rsidR="00A62EFC">
          <w:rPr>
            <w:noProof/>
            <w:webHidden/>
          </w:rPr>
          <w:t>5</w:t>
        </w:r>
        <w:r w:rsidR="00A62EFC">
          <w:rPr>
            <w:noProof/>
            <w:webHidden/>
          </w:rPr>
          <w:fldChar w:fldCharType="end"/>
        </w:r>
      </w:hyperlink>
    </w:p>
    <w:p w14:paraId="2CDABBC4" w14:textId="455A3FEF"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6" w:history="1">
        <w:r w:rsidR="00A62EFC" w:rsidRPr="00CF1F31">
          <w:rPr>
            <w:rStyle w:val="Hyperlink"/>
            <w:noProof/>
          </w:rPr>
          <w:t>§ 6</w:t>
        </w:r>
        <w:r w:rsidR="00A62EFC">
          <w:rPr>
            <w:rFonts w:asciiTheme="minorHAnsi" w:eastAsiaTheme="minorEastAsia" w:hAnsiTheme="minorHAnsi" w:cstheme="minorBidi"/>
            <w:noProof/>
            <w:szCs w:val="22"/>
          </w:rPr>
          <w:tab/>
        </w:r>
        <w:r w:rsidR="00A62EFC" w:rsidRPr="00CF1F31">
          <w:rPr>
            <w:rStyle w:val="Hyperlink"/>
            <w:noProof/>
          </w:rPr>
          <w:t>Bestilling</w:t>
        </w:r>
        <w:r w:rsidR="00A62EFC">
          <w:rPr>
            <w:noProof/>
            <w:webHidden/>
          </w:rPr>
          <w:tab/>
        </w:r>
        <w:r w:rsidR="00A62EFC">
          <w:rPr>
            <w:noProof/>
            <w:webHidden/>
          </w:rPr>
          <w:fldChar w:fldCharType="begin"/>
        </w:r>
        <w:r w:rsidR="00A62EFC">
          <w:rPr>
            <w:noProof/>
            <w:webHidden/>
          </w:rPr>
          <w:instrText xml:space="preserve"> PAGEREF _Toc149726706 \h </w:instrText>
        </w:r>
        <w:r w:rsidR="00A62EFC">
          <w:rPr>
            <w:noProof/>
            <w:webHidden/>
          </w:rPr>
        </w:r>
        <w:r w:rsidR="00A62EFC">
          <w:rPr>
            <w:noProof/>
            <w:webHidden/>
          </w:rPr>
          <w:fldChar w:fldCharType="separate"/>
        </w:r>
        <w:r w:rsidR="00A62EFC">
          <w:rPr>
            <w:noProof/>
            <w:webHidden/>
          </w:rPr>
          <w:t>5</w:t>
        </w:r>
        <w:r w:rsidR="00A62EFC">
          <w:rPr>
            <w:noProof/>
            <w:webHidden/>
          </w:rPr>
          <w:fldChar w:fldCharType="end"/>
        </w:r>
      </w:hyperlink>
    </w:p>
    <w:p w14:paraId="5E6228DD" w14:textId="3292B0F4"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7" w:history="1">
        <w:r w:rsidR="00A62EFC" w:rsidRPr="00CF1F31">
          <w:rPr>
            <w:rStyle w:val="Hyperlink"/>
            <w:noProof/>
          </w:rPr>
          <w:t>§ 7</w:t>
        </w:r>
        <w:r w:rsidR="00A62EFC">
          <w:rPr>
            <w:rFonts w:asciiTheme="minorHAnsi" w:eastAsiaTheme="minorEastAsia" w:hAnsiTheme="minorHAnsi" w:cstheme="minorBidi"/>
            <w:noProof/>
            <w:szCs w:val="22"/>
          </w:rPr>
          <w:tab/>
        </w:r>
        <w:r w:rsidR="00A62EFC" w:rsidRPr="00CF1F31">
          <w:rPr>
            <w:rStyle w:val="Hyperlink"/>
            <w:noProof/>
          </w:rPr>
          <w:t>Leveringsbetingelser</w:t>
        </w:r>
        <w:r w:rsidR="00A62EFC">
          <w:rPr>
            <w:noProof/>
            <w:webHidden/>
          </w:rPr>
          <w:tab/>
        </w:r>
        <w:r w:rsidR="00A62EFC">
          <w:rPr>
            <w:noProof/>
            <w:webHidden/>
          </w:rPr>
          <w:fldChar w:fldCharType="begin"/>
        </w:r>
        <w:r w:rsidR="00A62EFC">
          <w:rPr>
            <w:noProof/>
            <w:webHidden/>
          </w:rPr>
          <w:instrText xml:space="preserve"> PAGEREF _Toc149726707 \h </w:instrText>
        </w:r>
        <w:r w:rsidR="00A62EFC">
          <w:rPr>
            <w:noProof/>
            <w:webHidden/>
          </w:rPr>
        </w:r>
        <w:r w:rsidR="00A62EFC">
          <w:rPr>
            <w:noProof/>
            <w:webHidden/>
          </w:rPr>
          <w:fldChar w:fldCharType="separate"/>
        </w:r>
        <w:r w:rsidR="00A62EFC">
          <w:rPr>
            <w:noProof/>
            <w:webHidden/>
          </w:rPr>
          <w:t>6</w:t>
        </w:r>
        <w:r w:rsidR="00A62EFC">
          <w:rPr>
            <w:noProof/>
            <w:webHidden/>
          </w:rPr>
          <w:fldChar w:fldCharType="end"/>
        </w:r>
      </w:hyperlink>
    </w:p>
    <w:p w14:paraId="76C69E3E" w14:textId="3BFADF73"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8" w:history="1">
        <w:r w:rsidR="00A62EFC" w:rsidRPr="00CF1F31">
          <w:rPr>
            <w:rStyle w:val="Hyperlink"/>
            <w:noProof/>
          </w:rPr>
          <w:t>§ 8</w:t>
        </w:r>
        <w:r w:rsidR="00A62EFC">
          <w:rPr>
            <w:rFonts w:asciiTheme="minorHAnsi" w:eastAsiaTheme="minorEastAsia" w:hAnsiTheme="minorHAnsi" w:cstheme="minorBidi"/>
            <w:noProof/>
            <w:szCs w:val="22"/>
          </w:rPr>
          <w:tab/>
        </w:r>
        <w:r w:rsidR="00A62EFC" w:rsidRPr="00CF1F31">
          <w:rPr>
            <w:rStyle w:val="Hyperlink"/>
            <w:noProof/>
          </w:rPr>
          <w:t>Priser og prisregulering</w:t>
        </w:r>
        <w:r w:rsidR="00A62EFC">
          <w:rPr>
            <w:noProof/>
            <w:webHidden/>
          </w:rPr>
          <w:tab/>
        </w:r>
        <w:r w:rsidR="00A62EFC">
          <w:rPr>
            <w:noProof/>
            <w:webHidden/>
          </w:rPr>
          <w:fldChar w:fldCharType="begin"/>
        </w:r>
        <w:r w:rsidR="00A62EFC">
          <w:rPr>
            <w:noProof/>
            <w:webHidden/>
          </w:rPr>
          <w:instrText xml:space="preserve"> PAGEREF _Toc149726708 \h </w:instrText>
        </w:r>
        <w:r w:rsidR="00A62EFC">
          <w:rPr>
            <w:noProof/>
            <w:webHidden/>
          </w:rPr>
        </w:r>
        <w:r w:rsidR="00A62EFC">
          <w:rPr>
            <w:noProof/>
            <w:webHidden/>
          </w:rPr>
          <w:fldChar w:fldCharType="separate"/>
        </w:r>
        <w:r w:rsidR="00A62EFC">
          <w:rPr>
            <w:noProof/>
            <w:webHidden/>
          </w:rPr>
          <w:t>6</w:t>
        </w:r>
        <w:r w:rsidR="00A62EFC">
          <w:rPr>
            <w:noProof/>
            <w:webHidden/>
          </w:rPr>
          <w:fldChar w:fldCharType="end"/>
        </w:r>
      </w:hyperlink>
    </w:p>
    <w:p w14:paraId="3CB1A94F" w14:textId="17CBC6E4"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09" w:history="1">
        <w:r w:rsidR="00A62EFC" w:rsidRPr="00CF1F31">
          <w:rPr>
            <w:rStyle w:val="Hyperlink"/>
            <w:noProof/>
          </w:rPr>
          <w:t>§ 9</w:t>
        </w:r>
        <w:r w:rsidR="00A62EFC">
          <w:rPr>
            <w:rFonts w:asciiTheme="minorHAnsi" w:eastAsiaTheme="minorEastAsia" w:hAnsiTheme="minorHAnsi" w:cstheme="minorBidi"/>
            <w:noProof/>
            <w:szCs w:val="22"/>
          </w:rPr>
          <w:tab/>
        </w:r>
        <w:r w:rsidR="00A62EFC" w:rsidRPr="00CF1F31">
          <w:rPr>
            <w:rStyle w:val="Hyperlink"/>
            <w:noProof/>
          </w:rPr>
          <w:t>Betalingsbetingelser og fakturering</w:t>
        </w:r>
        <w:r w:rsidR="00A62EFC">
          <w:rPr>
            <w:noProof/>
            <w:webHidden/>
          </w:rPr>
          <w:tab/>
        </w:r>
        <w:r w:rsidR="00A62EFC">
          <w:rPr>
            <w:noProof/>
            <w:webHidden/>
          </w:rPr>
          <w:fldChar w:fldCharType="begin"/>
        </w:r>
        <w:r w:rsidR="00A62EFC">
          <w:rPr>
            <w:noProof/>
            <w:webHidden/>
          </w:rPr>
          <w:instrText xml:space="preserve"> PAGEREF _Toc149726709 \h </w:instrText>
        </w:r>
        <w:r w:rsidR="00A62EFC">
          <w:rPr>
            <w:noProof/>
            <w:webHidden/>
          </w:rPr>
        </w:r>
        <w:r w:rsidR="00A62EFC">
          <w:rPr>
            <w:noProof/>
            <w:webHidden/>
          </w:rPr>
          <w:fldChar w:fldCharType="separate"/>
        </w:r>
        <w:r w:rsidR="00A62EFC">
          <w:rPr>
            <w:noProof/>
            <w:webHidden/>
          </w:rPr>
          <w:t>7</w:t>
        </w:r>
        <w:r w:rsidR="00A62EFC">
          <w:rPr>
            <w:noProof/>
            <w:webHidden/>
          </w:rPr>
          <w:fldChar w:fldCharType="end"/>
        </w:r>
      </w:hyperlink>
    </w:p>
    <w:p w14:paraId="06B90E0D" w14:textId="1512E6D8"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0" w:history="1">
        <w:r w:rsidR="00A62EFC" w:rsidRPr="00CF1F31">
          <w:rPr>
            <w:rStyle w:val="Hyperlink"/>
            <w:noProof/>
          </w:rPr>
          <w:t>§ 10</w:t>
        </w:r>
        <w:r w:rsidR="00A62EFC">
          <w:rPr>
            <w:rFonts w:asciiTheme="minorHAnsi" w:eastAsiaTheme="minorEastAsia" w:hAnsiTheme="minorHAnsi" w:cstheme="minorBidi"/>
            <w:noProof/>
            <w:szCs w:val="22"/>
          </w:rPr>
          <w:tab/>
        </w:r>
        <w:r w:rsidR="00A62EFC" w:rsidRPr="00CF1F31">
          <w:rPr>
            <w:rStyle w:val="Hyperlink"/>
            <w:noProof/>
          </w:rPr>
          <w:t>Rettigheder</w:t>
        </w:r>
        <w:r w:rsidR="00A62EFC">
          <w:rPr>
            <w:noProof/>
            <w:webHidden/>
          </w:rPr>
          <w:tab/>
        </w:r>
        <w:r w:rsidR="00A62EFC">
          <w:rPr>
            <w:noProof/>
            <w:webHidden/>
          </w:rPr>
          <w:fldChar w:fldCharType="begin"/>
        </w:r>
        <w:r w:rsidR="00A62EFC">
          <w:rPr>
            <w:noProof/>
            <w:webHidden/>
          </w:rPr>
          <w:instrText xml:space="preserve"> PAGEREF _Toc149726710 \h </w:instrText>
        </w:r>
        <w:r w:rsidR="00A62EFC">
          <w:rPr>
            <w:noProof/>
            <w:webHidden/>
          </w:rPr>
        </w:r>
        <w:r w:rsidR="00A62EFC">
          <w:rPr>
            <w:noProof/>
            <w:webHidden/>
          </w:rPr>
          <w:fldChar w:fldCharType="separate"/>
        </w:r>
        <w:r w:rsidR="00A62EFC">
          <w:rPr>
            <w:noProof/>
            <w:webHidden/>
          </w:rPr>
          <w:t>7</w:t>
        </w:r>
        <w:r w:rsidR="00A62EFC">
          <w:rPr>
            <w:noProof/>
            <w:webHidden/>
          </w:rPr>
          <w:fldChar w:fldCharType="end"/>
        </w:r>
      </w:hyperlink>
    </w:p>
    <w:p w14:paraId="045CADBE" w14:textId="4AE8AC6F"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1" w:history="1">
        <w:r w:rsidR="00A62EFC" w:rsidRPr="00CF1F31">
          <w:rPr>
            <w:rStyle w:val="Hyperlink"/>
            <w:noProof/>
          </w:rPr>
          <w:t>§ 11</w:t>
        </w:r>
        <w:r w:rsidR="00A62EFC">
          <w:rPr>
            <w:rFonts w:asciiTheme="minorHAnsi" w:eastAsiaTheme="minorEastAsia" w:hAnsiTheme="minorHAnsi" w:cstheme="minorBidi"/>
            <w:noProof/>
            <w:szCs w:val="22"/>
          </w:rPr>
          <w:tab/>
        </w:r>
        <w:r w:rsidR="00A62EFC" w:rsidRPr="00CF1F31">
          <w:rPr>
            <w:rStyle w:val="Hyperlink"/>
            <w:noProof/>
          </w:rPr>
          <w:t>Overdragelse af rettigheder og forpligtelser</w:t>
        </w:r>
        <w:r w:rsidR="00A62EFC">
          <w:rPr>
            <w:noProof/>
            <w:webHidden/>
          </w:rPr>
          <w:tab/>
        </w:r>
        <w:r w:rsidR="00A62EFC">
          <w:rPr>
            <w:noProof/>
            <w:webHidden/>
          </w:rPr>
          <w:fldChar w:fldCharType="begin"/>
        </w:r>
        <w:r w:rsidR="00A62EFC">
          <w:rPr>
            <w:noProof/>
            <w:webHidden/>
          </w:rPr>
          <w:instrText xml:space="preserve"> PAGEREF _Toc149726711 \h </w:instrText>
        </w:r>
        <w:r w:rsidR="00A62EFC">
          <w:rPr>
            <w:noProof/>
            <w:webHidden/>
          </w:rPr>
        </w:r>
        <w:r w:rsidR="00A62EFC">
          <w:rPr>
            <w:noProof/>
            <w:webHidden/>
          </w:rPr>
          <w:fldChar w:fldCharType="separate"/>
        </w:r>
        <w:r w:rsidR="00A62EFC">
          <w:rPr>
            <w:noProof/>
            <w:webHidden/>
          </w:rPr>
          <w:t>7</w:t>
        </w:r>
        <w:r w:rsidR="00A62EFC">
          <w:rPr>
            <w:noProof/>
            <w:webHidden/>
          </w:rPr>
          <w:fldChar w:fldCharType="end"/>
        </w:r>
      </w:hyperlink>
    </w:p>
    <w:p w14:paraId="7281FB28" w14:textId="7499E588"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2" w:history="1">
        <w:r w:rsidR="00A62EFC" w:rsidRPr="00CF1F31">
          <w:rPr>
            <w:rStyle w:val="Hyperlink"/>
            <w:noProof/>
          </w:rPr>
          <w:t>§ 12</w:t>
        </w:r>
        <w:r w:rsidR="00A62EFC">
          <w:rPr>
            <w:rFonts w:asciiTheme="minorHAnsi" w:eastAsiaTheme="minorEastAsia" w:hAnsiTheme="minorHAnsi" w:cstheme="minorBidi"/>
            <w:noProof/>
            <w:szCs w:val="22"/>
          </w:rPr>
          <w:tab/>
        </w:r>
        <w:r w:rsidR="00A62EFC" w:rsidRPr="00CF1F31">
          <w:rPr>
            <w:rStyle w:val="Hyperlink"/>
            <w:noProof/>
          </w:rPr>
          <w:t>Benyttelse af underleverandører</w:t>
        </w:r>
        <w:r w:rsidR="00A62EFC">
          <w:rPr>
            <w:noProof/>
            <w:webHidden/>
          </w:rPr>
          <w:tab/>
        </w:r>
        <w:r w:rsidR="00A62EFC">
          <w:rPr>
            <w:noProof/>
            <w:webHidden/>
          </w:rPr>
          <w:fldChar w:fldCharType="begin"/>
        </w:r>
        <w:r w:rsidR="00A62EFC">
          <w:rPr>
            <w:noProof/>
            <w:webHidden/>
          </w:rPr>
          <w:instrText xml:space="preserve"> PAGEREF _Toc149726712 \h </w:instrText>
        </w:r>
        <w:r w:rsidR="00A62EFC">
          <w:rPr>
            <w:noProof/>
            <w:webHidden/>
          </w:rPr>
        </w:r>
        <w:r w:rsidR="00A62EFC">
          <w:rPr>
            <w:noProof/>
            <w:webHidden/>
          </w:rPr>
          <w:fldChar w:fldCharType="separate"/>
        </w:r>
        <w:r w:rsidR="00A62EFC">
          <w:rPr>
            <w:noProof/>
            <w:webHidden/>
          </w:rPr>
          <w:t>7</w:t>
        </w:r>
        <w:r w:rsidR="00A62EFC">
          <w:rPr>
            <w:noProof/>
            <w:webHidden/>
          </w:rPr>
          <w:fldChar w:fldCharType="end"/>
        </w:r>
      </w:hyperlink>
    </w:p>
    <w:p w14:paraId="7F8D2304" w14:textId="3115F4C1"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3" w:history="1">
        <w:r w:rsidR="00A62EFC" w:rsidRPr="00CF1F31">
          <w:rPr>
            <w:rStyle w:val="Hyperlink"/>
            <w:noProof/>
          </w:rPr>
          <w:t>§ 13</w:t>
        </w:r>
        <w:r w:rsidR="00A62EFC">
          <w:rPr>
            <w:rFonts w:asciiTheme="minorHAnsi" w:eastAsiaTheme="minorEastAsia" w:hAnsiTheme="minorHAnsi" w:cstheme="minorBidi"/>
            <w:noProof/>
            <w:szCs w:val="22"/>
          </w:rPr>
          <w:tab/>
        </w:r>
        <w:r w:rsidR="00A62EFC" w:rsidRPr="00CF1F31">
          <w:rPr>
            <w:rStyle w:val="Hyperlink"/>
            <w:noProof/>
          </w:rPr>
          <w:t>Persondata</w:t>
        </w:r>
        <w:r w:rsidR="00A62EFC">
          <w:rPr>
            <w:noProof/>
            <w:webHidden/>
          </w:rPr>
          <w:tab/>
        </w:r>
        <w:r w:rsidR="00A62EFC">
          <w:rPr>
            <w:noProof/>
            <w:webHidden/>
          </w:rPr>
          <w:fldChar w:fldCharType="begin"/>
        </w:r>
        <w:r w:rsidR="00A62EFC">
          <w:rPr>
            <w:noProof/>
            <w:webHidden/>
          </w:rPr>
          <w:instrText xml:space="preserve"> PAGEREF _Toc149726713 \h </w:instrText>
        </w:r>
        <w:r w:rsidR="00A62EFC">
          <w:rPr>
            <w:noProof/>
            <w:webHidden/>
          </w:rPr>
        </w:r>
        <w:r w:rsidR="00A62EFC">
          <w:rPr>
            <w:noProof/>
            <w:webHidden/>
          </w:rPr>
          <w:fldChar w:fldCharType="separate"/>
        </w:r>
        <w:r w:rsidR="00A62EFC">
          <w:rPr>
            <w:noProof/>
            <w:webHidden/>
          </w:rPr>
          <w:t>8</w:t>
        </w:r>
        <w:r w:rsidR="00A62EFC">
          <w:rPr>
            <w:noProof/>
            <w:webHidden/>
          </w:rPr>
          <w:fldChar w:fldCharType="end"/>
        </w:r>
      </w:hyperlink>
    </w:p>
    <w:p w14:paraId="64854976" w14:textId="245D6D22"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4" w:history="1">
        <w:r w:rsidR="00A62EFC" w:rsidRPr="00CF1F31">
          <w:rPr>
            <w:rStyle w:val="Hyperlink"/>
            <w:noProof/>
          </w:rPr>
          <w:t>§ 14</w:t>
        </w:r>
        <w:r w:rsidR="00A62EFC">
          <w:rPr>
            <w:rFonts w:asciiTheme="minorHAnsi" w:eastAsiaTheme="minorEastAsia" w:hAnsiTheme="minorHAnsi" w:cstheme="minorBidi"/>
            <w:noProof/>
            <w:szCs w:val="22"/>
          </w:rPr>
          <w:tab/>
        </w:r>
        <w:r w:rsidR="00A62EFC" w:rsidRPr="00CF1F31">
          <w:rPr>
            <w:rStyle w:val="Hyperlink"/>
            <w:noProof/>
          </w:rPr>
          <w:t>Tavshedspligt</w:t>
        </w:r>
        <w:r w:rsidR="00A62EFC">
          <w:rPr>
            <w:noProof/>
            <w:webHidden/>
          </w:rPr>
          <w:tab/>
        </w:r>
        <w:r w:rsidR="00A62EFC">
          <w:rPr>
            <w:noProof/>
            <w:webHidden/>
          </w:rPr>
          <w:fldChar w:fldCharType="begin"/>
        </w:r>
        <w:r w:rsidR="00A62EFC">
          <w:rPr>
            <w:noProof/>
            <w:webHidden/>
          </w:rPr>
          <w:instrText xml:space="preserve"> PAGEREF _Toc149726714 \h </w:instrText>
        </w:r>
        <w:r w:rsidR="00A62EFC">
          <w:rPr>
            <w:noProof/>
            <w:webHidden/>
          </w:rPr>
        </w:r>
        <w:r w:rsidR="00A62EFC">
          <w:rPr>
            <w:noProof/>
            <w:webHidden/>
          </w:rPr>
          <w:fldChar w:fldCharType="separate"/>
        </w:r>
        <w:r w:rsidR="00A62EFC">
          <w:rPr>
            <w:noProof/>
            <w:webHidden/>
          </w:rPr>
          <w:t>8</w:t>
        </w:r>
        <w:r w:rsidR="00A62EFC">
          <w:rPr>
            <w:noProof/>
            <w:webHidden/>
          </w:rPr>
          <w:fldChar w:fldCharType="end"/>
        </w:r>
      </w:hyperlink>
    </w:p>
    <w:p w14:paraId="68601B31" w14:textId="1C039AA1"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5" w:history="1">
        <w:r w:rsidR="00A62EFC" w:rsidRPr="00CF1F31">
          <w:rPr>
            <w:rStyle w:val="Hyperlink"/>
            <w:noProof/>
          </w:rPr>
          <w:t>§ 15</w:t>
        </w:r>
        <w:r w:rsidR="00A62EFC">
          <w:rPr>
            <w:rFonts w:asciiTheme="minorHAnsi" w:eastAsiaTheme="minorEastAsia" w:hAnsiTheme="minorHAnsi" w:cstheme="minorBidi"/>
            <w:noProof/>
            <w:szCs w:val="22"/>
          </w:rPr>
          <w:tab/>
        </w:r>
        <w:r w:rsidR="00A62EFC" w:rsidRPr="00CF1F31">
          <w:rPr>
            <w:rStyle w:val="Hyperlink"/>
            <w:noProof/>
          </w:rPr>
          <w:t>Lovgivning, myndighedskrav og CSR-forpligtelser</w:t>
        </w:r>
        <w:r w:rsidR="00A62EFC">
          <w:rPr>
            <w:noProof/>
            <w:webHidden/>
          </w:rPr>
          <w:tab/>
        </w:r>
        <w:r w:rsidR="00A62EFC">
          <w:rPr>
            <w:noProof/>
            <w:webHidden/>
          </w:rPr>
          <w:fldChar w:fldCharType="begin"/>
        </w:r>
        <w:r w:rsidR="00A62EFC">
          <w:rPr>
            <w:noProof/>
            <w:webHidden/>
          </w:rPr>
          <w:instrText xml:space="preserve"> PAGEREF _Toc149726715 \h </w:instrText>
        </w:r>
        <w:r w:rsidR="00A62EFC">
          <w:rPr>
            <w:noProof/>
            <w:webHidden/>
          </w:rPr>
        </w:r>
        <w:r w:rsidR="00A62EFC">
          <w:rPr>
            <w:noProof/>
            <w:webHidden/>
          </w:rPr>
          <w:fldChar w:fldCharType="separate"/>
        </w:r>
        <w:r w:rsidR="00A62EFC">
          <w:rPr>
            <w:noProof/>
            <w:webHidden/>
          </w:rPr>
          <w:t>8</w:t>
        </w:r>
        <w:r w:rsidR="00A62EFC">
          <w:rPr>
            <w:noProof/>
            <w:webHidden/>
          </w:rPr>
          <w:fldChar w:fldCharType="end"/>
        </w:r>
      </w:hyperlink>
    </w:p>
    <w:p w14:paraId="4A001326" w14:textId="321D6011"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6" w:history="1">
        <w:r w:rsidR="00A62EFC" w:rsidRPr="00CF1F31">
          <w:rPr>
            <w:rStyle w:val="Hyperlink"/>
            <w:noProof/>
          </w:rPr>
          <w:t>§ 16</w:t>
        </w:r>
        <w:r w:rsidR="00A62EFC">
          <w:rPr>
            <w:rFonts w:asciiTheme="minorHAnsi" w:eastAsiaTheme="minorEastAsia" w:hAnsiTheme="minorHAnsi" w:cstheme="minorBidi"/>
            <w:noProof/>
            <w:szCs w:val="22"/>
          </w:rPr>
          <w:tab/>
        </w:r>
        <w:r w:rsidR="00A62EFC" w:rsidRPr="00CF1F31">
          <w:rPr>
            <w:rStyle w:val="Hyperlink"/>
            <w:noProof/>
          </w:rPr>
          <w:t>Forsikringsforhold</w:t>
        </w:r>
        <w:r w:rsidR="00A62EFC">
          <w:rPr>
            <w:noProof/>
            <w:webHidden/>
          </w:rPr>
          <w:tab/>
        </w:r>
        <w:r w:rsidR="00A62EFC">
          <w:rPr>
            <w:noProof/>
            <w:webHidden/>
          </w:rPr>
          <w:fldChar w:fldCharType="begin"/>
        </w:r>
        <w:r w:rsidR="00A62EFC">
          <w:rPr>
            <w:noProof/>
            <w:webHidden/>
          </w:rPr>
          <w:instrText xml:space="preserve"> PAGEREF _Toc149726716 \h </w:instrText>
        </w:r>
        <w:r w:rsidR="00A62EFC">
          <w:rPr>
            <w:noProof/>
            <w:webHidden/>
          </w:rPr>
        </w:r>
        <w:r w:rsidR="00A62EFC">
          <w:rPr>
            <w:noProof/>
            <w:webHidden/>
          </w:rPr>
          <w:fldChar w:fldCharType="separate"/>
        </w:r>
        <w:r w:rsidR="00A62EFC">
          <w:rPr>
            <w:noProof/>
            <w:webHidden/>
          </w:rPr>
          <w:t>8</w:t>
        </w:r>
        <w:r w:rsidR="00A62EFC">
          <w:rPr>
            <w:noProof/>
            <w:webHidden/>
          </w:rPr>
          <w:fldChar w:fldCharType="end"/>
        </w:r>
      </w:hyperlink>
    </w:p>
    <w:p w14:paraId="7FEB654E" w14:textId="3FD6651A"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7" w:history="1">
        <w:r w:rsidR="00A62EFC" w:rsidRPr="00CF1F31">
          <w:rPr>
            <w:rStyle w:val="Hyperlink"/>
            <w:noProof/>
          </w:rPr>
          <w:t>§ 17</w:t>
        </w:r>
        <w:r w:rsidR="00A62EFC">
          <w:rPr>
            <w:rFonts w:asciiTheme="minorHAnsi" w:eastAsiaTheme="minorEastAsia" w:hAnsiTheme="minorHAnsi" w:cstheme="minorBidi"/>
            <w:noProof/>
            <w:szCs w:val="22"/>
          </w:rPr>
          <w:tab/>
        </w:r>
        <w:r w:rsidR="00A62EFC" w:rsidRPr="00CF1F31">
          <w:rPr>
            <w:rStyle w:val="Hyperlink"/>
            <w:noProof/>
          </w:rPr>
          <w:t>Garanti</w:t>
        </w:r>
        <w:r w:rsidR="00A62EFC">
          <w:rPr>
            <w:noProof/>
            <w:webHidden/>
          </w:rPr>
          <w:tab/>
        </w:r>
        <w:r w:rsidR="00A62EFC">
          <w:rPr>
            <w:noProof/>
            <w:webHidden/>
          </w:rPr>
          <w:fldChar w:fldCharType="begin"/>
        </w:r>
        <w:r w:rsidR="00A62EFC">
          <w:rPr>
            <w:noProof/>
            <w:webHidden/>
          </w:rPr>
          <w:instrText xml:space="preserve"> PAGEREF _Toc149726717 \h </w:instrText>
        </w:r>
        <w:r w:rsidR="00A62EFC">
          <w:rPr>
            <w:noProof/>
            <w:webHidden/>
          </w:rPr>
        </w:r>
        <w:r w:rsidR="00A62EFC">
          <w:rPr>
            <w:noProof/>
            <w:webHidden/>
          </w:rPr>
          <w:fldChar w:fldCharType="separate"/>
        </w:r>
        <w:r w:rsidR="00A62EFC">
          <w:rPr>
            <w:noProof/>
            <w:webHidden/>
          </w:rPr>
          <w:t>9</w:t>
        </w:r>
        <w:r w:rsidR="00A62EFC">
          <w:rPr>
            <w:noProof/>
            <w:webHidden/>
          </w:rPr>
          <w:fldChar w:fldCharType="end"/>
        </w:r>
      </w:hyperlink>
    </w:p>
    <w:p w14:paraId="049A4CA3" w14:textId="2FFEA59F"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8" w:history="1">
        <w:r w:rsidR="00A62EFC" w:rsidRPr="00CF1F31">
          <w:rPr>
            <w:rStyle w:val="Hyperlink"/>
            <w:noProof/>
          </w:rPr>
          <w:t>§ 18</w:t>
        </w:r>
        <w:r w:rsidR="00A62EFC">
          <w:rPr>
            <w:rFonts w:asciiTheme="minorHAnsi" w:eastAsiaTheme="minorEastAsia" w:hAnsiTheme="minorHAnsi" w:cstheme="minorBidi"/>
            <w:noProof/>
            <w:szCs w:val="22"/>
          </w:rPr>
          <w:tab/>
        </w:r>
        <w:r w:rsidR="00A62EFC" w:rsidRPr="00CF1F31">
          <w:rPr>
            <w:rStyle w:val="Hyperlink"/>
            <w:noProof/>
          </w:rPr>
          <w:t>Misligholdelse</w:t>
        </w:r>
        <w:r w:rsidR="00A62EFC">
          <w:rPr>
            <w:noProof/>
            <w:webHidden/>
          </w:rPr>
          <w:tab/>
        </w:r>
        <w:r w:rsidR="00A62EFC">
          <w:rPr>
            <w:noProof/>
            <w:webHidden/>
          </w:rPr>
          <w:fldChar w:fldCharType="begin"/>
        </w:r>
        <w:r w:rsidR="00A62EFC">
          <w:rPr>
            <w:noProof/>
            <w:webHidden/>
          </w:rPr>
          <w:instrText xml:space="preserve"> PAGEREF _Toc149726718 \h </w:instrText>
        </w:r>
        <w:r w:rsidR="00A62EFC">
          <w:rPr>
            <w:noProof/>
            <w:webHidden/>
          </w:rPr>
        </w:r>
        <w:r w:rsidR="00A62EFC">
          <w:rPr>
            <w:noProof/>
            <w:webHidden/>
          </w:rPr>
          <w:fldChar w:fldCharType="separate"/>
        </w:r>
        <w:r w:rsidR="00A62EFC">
          <w:rPr>
            <w:noProof/>
            <w:webHidden/>
          </w:rPr>
          <w:t>9</w:t>
        </w:r>
        <w:r w:rsidR="00A62EFC">
          <w:rPr>
            <w:noProof/>
            <w:webHidden/>
          </w:rPr>
          <w:fldChar w:fldCharType="end"/>
        </w:r>
      </w:hyperlink>
    </w:p>
    <w:p w14:paraId="2E7AC0E3" w14:textId="4B754CD7"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19" w:history="1">
        <w:r w:rsidR="00A62EFC" w:rsidRPr="00CF1F31">
          <w:rPr>
            <w:rStyle w:val="Hyperlink"/>
            <w:noProof/>
          </w:rPr>
          <w:t>§ 19</w:t>
        </w:r>
        <w:r w:rsidR="00A62EFC">
          <w:rPr>
            <w:rFonts w:asciiTheme="minorHAnsi" w:eastAsiaTheme="minorEastAsia" w:hAnsiTheme="minorHAnsi" w:cstheme="minorBidi"/>
            <w:noProof/>
            <w:szCs w:val="22"/>
          </w:rPr>
          <w:tab/>
        </w:r>
        <w:r w:rsidR="00A62EFC" w:rsidRPr="00CF1F31">
          <w:rPr>
            <w:rStyle w:val="Hyperlink"/>
            <w:noProof/>
          </w:rPr>
          <w:t>Ophævelse</w:t>
        </w:r>
        <w:r w:rsidR="00A62EFC">
          <w:rPr>
            <w:noProof/>
            <w:webHidden/>
          </w:rPr>
          <w:tab/>
        </w:r>
        <w:r w:rsidR="00A62EFC">
          <w:rPr>
            <w:noProof/>
            <w:webHidden/>
          </w:rPr>
          <w:fldChar w:fldCharType="begin"/>
        </w:r>
        <w:r w:rsidR="00A62EFC">
          <w:rPr>
            <w:noProof/>
            <w:webHidden/>
          </w:rPr>
          <w:instrText xml:space="preserve"> PAGEREF _Toc149726719 \h </w:instrText>
        </w:r>
        <w:r w:rsidR="00A62EFC">
          <w:rPr>
            <w:noProof/>
            <w:webHidden/>
          </w:rPr>
        </w:r>
        <w:r w:rsidR="00A62EFC">
          <w:rPr>
            <w:noProof/>
            <w:webHidden/>
          </w:rPr>
          <w:fldChar w:fldCharType="separate"/>
        </w:r>
        <w:r w:rsidR="00A62EFC">
          <w:rPr>
            <w:noProof/>
            <w:webHidden/>
          </w:rPr>
          <w:t>10</w:t>
        </w:r>
        <w:r w:rsidR="00A62EFC">
          <w:rPr>
            <w:noProof/>
            <w:webHidden/>
          </w:rPr>
          <w:fldChar w:fldCharType="end"/>
        </w:r>
      </w:hyperlink>
    </w:p>
    <w:p w14:paraId="36469CBB" w14:textId="03F5A83A"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20" w:history="1">
        <w:r w:rsidR="00A62EFC" w:rsidRPr="00CF1F31">
          <w:rPr>
            <w:rStyle w:val="Hyperlink"/>
            <w:noProof/>
          </w:rPr>
          <w:t>§ 20</w:t>
        </w:r>
        <w:r w:rsidR="00A62EFC">
          <w:rPr>
            <w:rFonts w:asciiTheme="minorHAnsi" w:eastAsiaTheme="minorEastAsia" w:hAnsiTheme="minorHAnsi" w:cstheme="minorBidi"/>
            <w:noProof/>
            <w:szCs w:val="22"/>
          </w:rPr>
          <w:tab/>
        </w:r>
        <w:r w:rsidR="00A62EFC" w:rsidRPr="00CF1F31">
          <w:rPr>
            <w:rStyle w:val="Hyperlink"/>
            <w:noProof/>
          </w:rPr>
          <w:t>Erstatning</w:t>
        </w:r>
        <w:r w:rsidR="00A62EFC">
          <w:rPr>
            <w:noProof/>
            <w:webHidden/>
          </w:rPr>
          <w:tab/>
        </w:r>
        <w:r w:rsidR="00A62EFC">
          <w:rPr>
            <w:noProof/>
            <w:webHidden/>
          </w:rPr>
          <w:fldChar w:fldCharType="begin"/>
        </w:r>
        <w:r w:rsidR="00A62EFC">
          <w:rPr>
            <w:noProof/>
            <w:webHidden/>
          </w:rPr>
          <w:instrText xml:space="preserve"> PAGEREF _Toc149726720 \h </w:instrText>
        </w:r>
        <w:r w:rsidR="00A62EFC">
          <w:rPr>
            <w:noProof/>
            <w:webHidden/>
          </w:rPr>
        </w:r>
        <w:r w:rsidR="00A62EFC">
          <w:rPr>
            <w:noProof/>
            <w:webHidden/>
          </w:rPr>
          <w:fldChar w:fldCharType="separate"/>
        </w:r>
        <w:r w:rsidR="00A62EFC">
          <w:rPr>
            <w:noProof/>
            <w:webHidden/>
          </w:rPr>
          <w:t>11</w:t>
        </w:r>
        <w:r w:rsidR="00A62EFC">
          <w:rPr>
            <w:noProof/>
            <w:webHidden/>
          </w:rPr>
          <w:fldChar w:fldCharType="end"/>
        </w:r>
      </w:hyperlink>
    </w:p>
    <w:p w14:paraId="4DF78AB9" w14:textId="67ABD4E5"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21" w:history="1">
        <w:r w:rsidR="00A62EFC" w:rsidRPr="00CF1F31">
          <w:rPr>
            <w:rStyle w:val="Hyperlink"/>
            <w:noProof/>
          </w:rPr>
          <w:t>§ 21</w:t>
        </w:r>
        <w:r w:rsidR="00A62EFC">
          <w:rPr>
            <w:rFonts w:asciiTheme="minorHAnsi" w:eastAsiaTheme="minorEastAsia" w:hAnsiTheme="minorHAnsi" w:cstheme="minorBidi"/>
            <w:noProof/>
            <w:szCs w:val="22"/>
          </w:rPr>
          <w:tab/>
        </w:r>
        <w:r w:rsidR="00A62EFC" w:rsidRPr="00CF1F31">
          <w:rPr>
            <w:rStyle w:val="Hyperlink"/>
            <w:noProof/>
          </w:rPr>
          <w:t>Force Majeure</w:t>
        </w:r>
        <w:r w:rsidR="00A62EFC">
          <w:rPr>
            <w:noProof/>
            <w:webHidden/>
          </w:rPr>
          <w:tab/>
        </w:r>
        <w:r w:rsidR="00A62EFC">
          <w:rPr>
            <w:noProof/>
            <w:webHidden/>
          </w:rPr>
          <w:fldChar w:fldCharType="begin"/>
        </w:r>
        <w:r w:rsidR="00A62EFC">
          <w:rPr>
            <w:noProof/>
            <w:webHidden/>
          </w:rPr>
          <w:instrText xml:space="preserve"> PAGEREF _Toc149726721 \h </w:instrText>
        </w:r>
        <w:r w:rsidR="00A62EFC">
          <w:rPr>
            <w:noProof/>
            <w:webHidden/>
          </w:rPr>
        </w:r>
        <w:r w:rsidR="00A62EFC">
          <w:rPr>
            <w:noProof/>
            <w:webHidden/>
          </w:rPr>
          <w:fldChar w:fldCharType="separate"/>
        </w:r>
        <w:r w:rsidR="00A62EFC">
          <w:rPr>
            <w:noProof/>
            <w:webHidden/>
          </w:rPr>
          <w:t>11</w:t>
        </w:r>
        <w:r w:rsidR="00A62EFC">
          <w:rPr>
            <w:noProof/>
            <w:webHidden/>
          </w:rPr>
          <w:fldChar w:fldCharType="end"/>
        </w:r>
      </w:hyperlink>
    </w:p>
    <w:p w14:paraId="2C91BE6A" w14:textId="4AB47DFC"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22" w:history="1">
        <w:r w:rsidR="00A62EFC" w:rsidRPr="00CF1F31">
          <w:rPr>
            <w:rStyle w:val="Hyperlink"/>
            <w:noProof/>
          </w:rPr>
          <w:t>§ 22</w:t>
        </w:r>
        <w:r w:rsidR="00A62EFC">
          <w:rPr>
            <w:rFonts w:asciiTheme="minorHAnsi" w:eastAsiaTheme="minorEastAsia" w:hAnsiTheme="minorHAnsi" w:cstheme="minorBidi"/>
            <w:noProof/>
            <w:szCs w:val="22"/>
          </w:rPr>
          <w:tab/>
        </w:r>
        <w:r w:rsidR="00A62EFC" w:rsidRPr="00CF1F31">
          <w:rPr>
            <w:rStyle w:val="Hyperlink"/>
            <w:noProof/>
          </w:rPr>
          <w:t>Tvister, lovvalg og værneting</w:t>
        </w:r>
        <w:r w:rsidR="00A62EFC">
          <w:rPr>
            <w:noProof/>
            <w:webHidden/>
          </w:rPr>
          <w:tab/>
        </w:r>
        <w:r w:rsidR="00A62EFC">
          <w:rPr>
            <w:noProof/>
            <w:webHidden/>
          </w:rPr>
          <w:fldChar w:fldCharType="begin"/>
        </w:r>
        <w:r w:rsidR="00A62EFC">
          <w:rPr>
            <w:noProof/>
            <w:webHidden/>
          </w:rPr>
          <w:instrText xml:space="preserve"> PAGEREF _Toc149726722 \h </w:instrText>
        </w:r>
        <w:r w:rsidR="00A62EFC">
          <w:rPr>
            <w:noProof/>
            <w:webHidden/>
          </w:rPr>
        </w:r>
        <w:r w:rsidR="00A62EFC">
          <w:rPr>
            <w:noProof/>
            <w:webHidden/>
          </w:rPr>
          <w:fldChar w:fldCharType="separate"/>
        </w:r>
        <w:r w:rsidR="00A62EFC">
          <w:rPr>
            <w:noProof/>
            <w:webHidden/>
          </w:rPr>
          <w:t>12</w:t>
        </w:r>
        <w:r w:rsidR="00A62EFC">
          <w:rPr>
            <w:noProof/>
            <w:webHidden/>
          </w:rPr>
          <w:fldChar w:fldCharType="end"/>
        </w:r>
      </w:hyperlink>
    </w:p>
    <w:p w14:paraId="6E42AEDD" w14:textId="02C05F82"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23" w:history="1">
        <w:r w:rsidR="00A62EFC" w:rsidRPr="00CF1F31">
          <w:rPr>
            <w:rStyle w:val="Hyperlink"/>
            <w:noProof/>
          </w:rPr>
          <w:t>§ 23</w:t>
        </w:r>
        <w:r w:rsidR="00A62EFC">
          <w:rPr>
            <w:rFonts w:asciiTheme="minorHAnsi" w:eastAsiaTheme="minorEastAsia" w:hAnsiTheme="minorHAnsi" w:cstheme="minorBidi"/>
            <w:noProof/>
            <w:szCs w:val="22"/>
          </w:rPr>
          <w:tab/>
        </w:r>
        <w:r w:rsidR="00A62EFC" w:rsidRPr="00CF1F31">
          <w:rPr>
            <w:rStyle w:val="Hyperlink"/>
            <w:noProof/>
          </w:rPr>
          <w:t>Ændringer</w:t>
        </w:r>
        <w:r w:rsidR="00A62EFC">
          <w:rPr>
            <w:noProof/>
            <w:webHidden/>
          </w:rPr>
          <w:tab/>
        </w:r>
        <w:r w:rsidR="00A62EFC">
          <w:rPr>
            <w:noProof/>
            <w:webHidden/>
          </w:rPr>
          <w:fldChar w:fldCharType="begin"/>
        </w:r>
        <w:r w:rsidR="00A62EFC">
          <w:rPr>
            <w:noProof/>
            <w:webHidden/>
          </w:rPr>
          <w:instrText xml:space="preserve"> PAGEREF _Toc149726723 \h </w:instrText>
        </w:r>
        <w:r w:rsidR="00A62EFC">
          <w:rPr>
            <w:noProof/>
            <w:webHidden/>
          </w:rPr>
        </w:r>
        <w:r w:rsidR="00A62EFC">
          <w:rPr>
            <w:noProof/>
            <w:webHidden/>
          </w:rPr>
          <w:fldChar w:fldCharType="separate"/>
        </w:r>
        <w:r w:rsidR="00A62EFC">
          <w:rPr>
            <w:noProof/>
            <w:webHidden/>
          </w:rPr>
          <w:t>12</w:t>
        </w:r>
        <w:r w:rsidR="00A62EFC">
          <w:rPr>
            <w:noProof/>
            <w:webHidden/>
          </w:rPr>
          <w:fldChar w:fldCharType="end"/>
        </w:r>
      </w:hyperlink>
    </w:p>
    <w:p w14:paraId="0F3B43A2" w14:textId="3C9318B0" w:rsidR="00A62EFC" w:rsidRDefault="001979DF">
      <w:pPr>
        <w:pStyle w:val="Indholdsfortegnelse1"/>
        <w:tabs>
          <w:tab w:val="left" w:pos="660"/>
          <w:tab w:val="right" w:leader="dot" w:pos="9628"/>
        </w:tabs>
        <w:rPr>
          <w:rFonts w:asciiTheme="minorHAnsi" w:eastAsiaTheme="minorEastAsia" w:hAnsiTheme="minorHAnsi" w:cstheme="minorBidi"/>
          <w:noProof/>
          <w:szCs w:val="22"/>
        </w:rPr>
      </w:pPr>
      <w:hyperlink w:anchor="_Toc149726724" w:history="1">
        <w:r w:rsidR="00A62EFC" w:rsidRPr="00CF1F31">
          <w:rPr>
            <w:rStyle w:val="Hyperlink"/>
            <w:noProof/>
          </w:rPr>
          <w:t>§ 24</w:t>
        </w:r>
        <w:r w:rsidR="00A62EFC">
          <w:rPr>
            <w:rFonts w:asciiTheme="minorHAnsi" w:eastAsiaTheme="minorEastAsia" w:hAnsiTheme="minorHAnsi" w:cstheme="minorBidi"/>
            <w:noProof/>
            <w:szCs w:val="22"/>
          </w:rPr>
          <w:tab/>
        </w:r>
        <w:r w:rsidR="00A62EFC" w:rsidRPr="00CF1F31">
          <w:rPr>
            <w:rStyle w:val="Hyperlink"/>
            <w:noProof/>
          </w:rPr>
          <w:t>Underskrifter</w:t>
        </w:r>
        <w:r w:rsidR="00A62EFC">
          <w:rPr>
            <w:noProof/>
            <w:webHidden/>
          </w:rPr>
          <w:tab/>
        </w:r>
        <w:r w:rsidR="00A62EFC">
          <w:rPr>
            <w:noProof/>
            <w:webHidden/>
          </w:rPr>
          <w:fldChar w:fldCharType="begin"/>
        </w:r>
        <w:r w:rsidR="00A62EFC">
          <w:rPr>
            <w:noProof/>
            <w:webHidden/>
          </w:rPr>
          <w:instrText xml:space="preserve"> PAGEREF _Toc149726724 \h </w:instrText>
        </w:r>
        <w:r w:rsidR="00A62EFC">
          <w:rPr>
            <w:noProof/>
            <w:webHidden/>
          </w:rPr>
        </w:r>
        <w:r w:rsidR="00A62EFC">
          <w:rPr>
            <w:noProof/>
            <w:webHidden/>
          </w:rPr>
          <w:fldChar w:fldCharType="separate"/>
        </w:r>
        <w:r w:rsidR="00A62EFC">
          <w:rPr>
            <w:noProof/>
            <w:webHidden/>
          </w:rPr>
          <w:t>12</w:t>
        </w:r>
        <w:r w:rsidR="00A62EFC">
          <w:rPr>
            <w:noProof/>
            <w:webHidden/>
          </w:rPr>
          <w:fldChar w:fldCharType="end"/>
        </w:r>
      </w:hyperlink>
    </w:p>
    <w:p w14:paraId="01EE1AB0" w14:textId="6F9E4E54" w:rsidR="00332981" w:rsidRPr="00332981" w:rsidRDefault="00332981" w:rsidP="00332981">
      <w:pPr>
        <w:rPr>
          <w:lang w:eastAsia="en-US"/>
        </w:rPr>
      </w:pPr>
      <w:r>
        <w:rPr>
          <w:lang w:eastAsia="en-US"/>
        </w:rPr>
        <w:fldChar w:fldCharType="end"/>
      </w:r>
    </w:p>
    <w:p w14:paraId="7A1A3D8D" w14:textId="77777777" w:rsidR="004701B3" w:rsidRDefault="004701B3">
      <w:pPr>
        <w:spacing w:after="160" w:line="259" w:lineRule="auto"/>
        <w:jc w:val="left"/>
      </w:pPr>
      <w:r>
        <w:br w:type="page"/>
      </w:r>
    </w:p>
    <w:p w14:paraId="168F94EF" w14:textId="27023525" w:rsidR="001D78A1" w:rsidRDefault="004701B3" w:rsidP="004701B3">
      <w:pPr>
        <w:pStyle w:val="Overskrift1"/>
      </w:pPr>
      <w:bookmarkStart w:id="0" w:name="_Ref127975319"/>
      <w:bookmarkStart w:id="1" w:name="_Toc149726701"/>
      <w:r>
        <w:lastRenderedPageBreak/>
        <w:t>Parterne</w:t>
      </w:r>
      <w:bookmarkEnd w:id="0"/>
      <w:bookmarkEnd w:id="1"/>
    </w:p>
    <w:p w14:paraId="7608F6E4" w14:textId="77777777" w:rsidR="001D78A1" w:rsidRPr="00B25551" w:rsidRDefault="001D78A1" w:rsidP="00465561">
      <w:r>
        <w:t xml:space="preserve">Mellem </w:t>
      </w:r>
    </w:p>
    <w:p w14:paraId="50F47673" w14:textId="77777777" w:rsidR="001D78A1" w:rsidRPr="00B25551" w:rsidRDefault="001D78A1" w:rsidP="00465561"/>
    <w:p w14:paraId="4D70E9BA" w14:textId="77777777" w:rsidR="001D78A1" w:rsidRPr="00B25551" w:rsidRDefault="001D78A1" w:rsidP="00465561">
      <w:r w:rsidRPr="00B25551">
        <w:t>Banedanmark</w:t>
      </w:r>
    </w:p>
    <w:p w14:paraId="7FC35723" w14:textId="77777777" w:rsidR="001D78A1" w:rsidRPr="00393254" w:rsidRDefault="001D78A1" w:rsidP="00465561">
      <w:r w:rsidRPr="001C4A91">
        <w:t>Carsten Niebuhrs Gade 43</w:t>
      </w:r>
    </w:p>
    <w:p w14:paraId="03F2E05D" w14:textId="77777777" w:rsidR="001D78A1" w:rsidRPr="00B25551" w:rsidRDefault="001D78A1" w:rsidP="00465561">
      <w:r w:rsidRPr="001C4A91">
        <w:t>DK-1577 København V</w:t>
      </w:r>
    </w:p>
    <w:p w14:paraId="736397DA" w14:textId="77777777" w:rsidR="001D78A1" w:rsidRPr="00B25551" w:rsidRDefault="001D78A1" w:rsidP="00465561">
      <w:r w:rsidRPr="00B25551">
        <w:t>CVR nr. 18632276</w:t>
      </w:r>
    </w:p>
    <w:p w14:paraId="077A6E92" w14:textId="77777777" w:rsidR="001D78A1" w:rsidRPr="00B25551" w:rsidRDefault="001D78A1" w:rsidP="00465561">
      <w:r>
        <w:t>(</w:t>
      </w:r>
      <w:r w:rsidRPr="00B25551">
        <w:t>i det følgende benævnt ”Banedanmark”</w:t>
      </w:r>
      <w:r>
        <w:t>)</w:t>
      </w:r>
    </w:p>
    <w:p w14:paraId="7EF078C1" w14:textId="77777777" w:rsidR="001D78A1" w:rsidRPr="00B25551" w:rsidRDefault="001D78A1" w:rsidP="00465561"/>
    <w:p w14:paraId="6A557A46" w14:textId="77777777" w:rsidR="001D78A1" w:rsidRPr="00B25551" w:rsidRDefault="001D78A1" w:rsidP="00465561">
      <w:r w:rsidRPr="00B25551">
        <w:t>og</w:t>
      </w:r>
    </w:p>
    <w:p w14:paraId="6C40BA80" w14:textId="77777777" w:rsidR="001D78A1" w:rsidRPr="00B25551" w:rsidRDefault="001D78A1" w:rsidP="00465561"/>
    <w:p w14:paraId="484F87E7" w14:textId="37B3D665" w:rsidR="001D78A1" w:rsidRPr="00D15BD8" w:rsidRDefault="0056772A" w:rsidP="00465561">
      <w:r>
        <w:t>xx</w:t>
      </w:r>
    </w:p>
    <w:p w14:paraId="3CDAC1E6" w14:textId="77777777" w:rsidR="001D78A1" w:rsidRDefault="001D78A1" w:rsidP="00465561"/>
    <w:p w14:paraId="2F4D725E" w14:textId="32DEA8B6" w:rsidR="001D78A1" w:rsidRPr="00B25551" w:rsidRDefault="001D78A1" w:rsidP="00465561">
      <w:r w:rsidRPr="00B25551">
        <w:t>CVR</w:t>
      </w:r>
      <w:r>
        <w:t xml:space="preserve"> nr. </w:t>
      </w:r>
      <w:r w:rsidR="0056772A">
        <w:t>xx</w:t>
      </w:r>
    </w:p>
    <w:p w14:paraId="49294382" w14:textId="77777777" w:rsidR="001D78A1" w:rsidRPr="00B25551" w:rsidRDefault="001D78A1" w:rsidP="00465561"/>
    <w:p w14:paraId="4F0FB761" w14:textId="6776F172" w:rsidR="001D78A1" w:rsidRDefault="001D78A1" w:rsidP="00465561">
      <w:r>
        <w:t>(</w:t>
      </w:r>
      <w:r w:rsidRPr="00B25551">
        <w:t>i det følgende benævnt ”Leverandøren”</w:t>
      </w:r>
      <w:r>
        <w:t xml:space="preserve">) er der indgået følgende </w:t>
      </w:r>
      <w:r w:rsidR="00CC64CD">
        <w:t>aftale</w:t>
      </w:r>
      <w:r>
        <w:t xml:space="preserve"> om levering af </w:t>
      </w:r>
      <w:r w:rsidR="00141612">
        <w:t>sporskæring (”</w:t>
      </w:r>
      <w:proofErr w:type="spellStart"/>
      <w:r w:rsidR="00141612">
        <w:t>diamond</w:t>
      </w:r>
      <w:proofErr w:type="spellEnd"/>
      <w:r w:rsidR="00141612">
        <w:t xml:space="preserve"> </w:t>
      </w:r>
      <w:proofErr w:type="spellStart"/>
      <w:r w:rsidR="00141612">
        <w:t>crossing</w:t>
      </w:r>
      <w:proofErr w:type="spellEnd"/>
      <w:r w:rsidR="00141612">
        <w:t>”)</w:t>
      </w:r>
      <w:r>
        <w:t xml:space="preserve"> (i det følgende benævnt ”</w:t>
      </w:r>
      <w:r w:rsidR="00CC64CD">
        <w:t>Aftale</w:t>
      </w:r>
      <w:r>
        <w:t xml:space="preserve">n”). </w:t>
      </w:r>
    </w:p>
    <w:p w14:paraId="28FAE652" w14:textId="77777777" w:rsidR="001D78A1" w:rsidRDefault="001D78A1" w:rsidP="00465561"/>
    <w:p w14:paraId="3C62A8B6" w14:textId="70CEA5EC" w:rsidR="001D78A1" w:rsidRPr="009A1C3A" w:rsidRDefault="001D78A1" w:rsidP="00465561">
      <w:r w:rsidRPr="009A1C3A">
        <w:t xml:space="preserve">Leverandørens daglige kontaktperson hos Banedanmark er </w:t>
      </w:r>
      <w:r w:rsidR="001214B5">
        <w:t xml:space="preserve">Projekteringsleder Esben Gurung Madsen, +45 </w:t>
      </w:r>
      <w:r w:rsidR="00C70465" w:rsidRPr="00C70465">
        <w:t>24840837</w:t>
      </w:r>
      <w:r w:rsidR="001040B8">
        <w:t>, egmd@bane.dk</w:t>
      </w:r>
      <w:r w:rsidRPr="009A1C3A">
        <w:t>.</w:t>
      </w:r>
    </w:p>
    <w:p w14:paraId="2FEF2E8D" w14:textId="77777777" w:rsidR="001D78A1" w:rsidRPr="009A1C3A" w:rsidRDefault="001D78A1" w:rsidP="00465561"/>
    <w:p w14:paraId="05D9A84D" w14:textId="2DAA20DB" w:rsidR="001D78A1" w:rsidRDefault="001D78A1" w:rsidP="00465561">
      <w:r w:rsidRPr="1CD87487">
        <w:t xml:space="preserve">Den daglige kontaktperson hos Leverandøren er </w:t>
      </w:r>
      <w:r w:rsidR="00141612">
        <w:t>xx</w:t>
      </w:r>
      <w:r w:rsidRPr="1CD87487">
        <w:t>.</w:t>
      </w:r>
    </w:p>
    <w:p w14:paraId="59FA670F" w14:textId="1E59D172" w:rsidR="001D78A1" w:rsidRDefault="001D78A1" w:rsidP="00465561"/>
    <w:p w14:paraId="76C4C1BA" w14:textId="25335630" w:rsidR="00465561" w:rsidRPr="00CC64CD" w:rsidRDefault="00465561" w:rsidP="00465561">
      <w:pPr>
        <w:pStyle w:val="Overskrift1"/>
      </w:pPr>
      <w:bookmarkStart w:id="2" w:name="_Toc149726702"/>
      <w:r w:rsidRPr="00CC64CD">
        <w:t>Aftalegrundlaget</w:t>
      </w:r>
      <w:bookmarkEnd w:id="2"/>
    </w:p>
    <w:p w14:paraId="738A03F9" w14:textId="6140B3F2" w:rsidR="001D78A1" w:rsidRPr="004E1C94" w:rsidRDefault="001D78A1" w:rsidP="00465561">
      <w:r>
        <w:t>Aftalegrundlaget</w:t>
      </w:r>
      <w:r w:rsidRPr="004E1C94">
        <w:t xml:space="preserve"> udgøres af nærværende </w:t>
      </w:r>
      <w:r w:rsidR="00CC64CD">
        <w:t>Aftale</w:t>
      </w:r>
      <w:r w:rsidRPr="004E1C94">
        <w:t xml:space="preserve"> med </w:t>
      </w:r>
      <w:r>
        <w:t>tilhørende</w:t>
      </w:r>
      <w:r w:rsidRPr="004E1C94">
        <w:t xml:space="preserve"> bilag/dokumenter: </w:t>
      </w:r>
    </w:p>
    <w:p w14:paraId="4D566AC3" w14:textId="77777777" w:rsidR="001D78A1" w:rsidRPr="004E1C94" w:rsidRDefault="001D78A1" w:rsidP="00465561"/>
    <w:p w14:paraId="5D1FE1BD" w14:textId="06BAD39A" w:rsidR="00F35721" w:rsidRPr="00603237" w:rsidRDefault="00F35721" w:rsidP="00F35721">
      <w:pPr>
        <w:pStyle w:val="Listeafsnit"/>
        <w:numPr>
          <w:ilvl w:val="1"/>
          <w:numId w:val="15"/>
        </w:numPr>
        <w:tabs>
          <w:tab w:val="left" w:pos="840"/>
        </w:tabs>
        <w:autoSpaceDE w:val="0"/>
        <w:autoSpaceDN w:val="0"/>
        <w:adjustRightInd w:val="0"/>
        <w:jc w:val="left"/>
        <w:rPr>
          <w:lang w:val="en"/>
        </w:rPr>
      </w:pPr>
      <w:r>
        <w:rPr>
          <w:lang w:val="en"/>
        </w:rPr>
        <w:t>Appendix 0</w:t>
      </w:r>
      <w:r w:rsidR="00B67868">
        <w:rPr>
          <w:lang w:val="en"/>
        </w:rPr>
        <w:t xml:space="preserve"> - </w:t>
      </w:r>
      <w:r w:rsidRPr="00603237">
        <w:rPr>
          <w:lang w:val="en"/>
        </w:rPr>
        <w:t xml:space="preserve">NFSP0522 Service and delivery description -Diamond crossing </w:t>
      </w:r>
    </w:p>
    <w:p w14:paraId="2B24011A"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Appendix 1 - Technical Specifications - Switches and Crossings (English)</w:t>
      </w:r>
    </w:p>
    <w:p w14:paraId="1F4B1C70"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Appendix 2 - HSP-01-020000-001 (track plan)</w:t>
      </w:r>
    </w:p>
    <w:p w14:paraId="1F8EADEF"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 xml:space="preserve">Appendix 3 - MSWEH-01-019000-1-LIN-100 (track </w:t>
      </w:r>
      <w:proofErr w:type="gramStart"/>
      <w:r w:rsidRPr="00603237">
        <w:rPr>
          <w:lang w:val="en"/>
        </w:rPr>
        <w:t>plan .</w:t>
      </w:r>
      <w:proofErr w:type="spellStart"/>
      <w:r w:rsidRPr="00603237">
        <w:rPr>
          <w:lang w:val="en"/>
        </w:rPr>
        <w:t>dgn</w:t>
      </w:r>
      <w:proofErr w:type="spellEnd"/>
      <w:proofErr w:type="gramEnd"/>
      <w:r w:rsidRPr="00603237">
        <w:rPr>
          <w:lang w:val="en"/>
        </w:rPr>
        <w:t>)</w:t>
      </w:r>
    </w:p>
    <w:p w14:paraId="3FB37AF9"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 xml:space="preserve">Appendix 4 - 10-3980 (sleeper distribution </w:t>
      </w:r>
      <w:proofErr w:type="spellStart"/>
      <w:r w:rsidRPr="00603237">
        <w:rPr>
          <w:lang w:val="en"/>
        </w:rPr>
        <w:t>plan_Draft</w:t>
      </w:r>
      <w:proofErr w:type="spellEnd"/>
      <w:r w:rsidRPr="00603237">
        <w:rPr>
          <w:lang w:val="en"/>
        </w:rPr>
        <w:t>)</w:t>
      </w:r>
    </w:p>
    <w:p w14:paraId="6381716E" w14:textId="77777777" w:rsidR="00F35721" w:rsidRPr="00F35721" w:rsidRDefault="00F35721" w:rsidP="00F35721">
      <w:pPr>
        <w:pStyle w:val="Listeafsnit"/>
        <w:numPr>
          <w:ilvl w:val="1"/>
          <w:numId w:val="15"/>
        </w:numPr>
        <w:tabs>
          <w:tab w:val="left" w:pos="840"/>
        </w:tabs>
        <w:autoSpaceDE w:val="0"/>
        <w:autoSpaceDN w:val="0"/>
        <w:adjustRightInd w:val="0"/>
        <w:jc w:val="left"/>
      </w:pPr>
      <w:proofErr w:type="spellStart"/>
      <w:r w:rsidRPr="00F35721">
        <w:t>Appendix</w:t>
      </w:r>
      <w:proofErr w:type="spellEnd"/>
      <w:r w:rsidRPr="00F35721">
        <w:t xml:space="preserve"> 5 - Krav til teknisk dokumentation i BDK (Danish)</w:t>
      </w:r>
    </w:p>
    <w:p w14:paraId="77E97408"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 xml:space="preserve">Appendix 6 - </w:t>
      </w:r>
      <w:proofErr w:type="spellStart"/>
      <w:r w:rsidRPr="00603237">
        <w:rPr>
          <w:lang w:val="en"/>
        </w:rPr>
        <w:t>BDK_Title_Block</w:t>
      </w:r>
      <w:proofErr w:type="spellEnd"/>
      <w:r w:rsidRPr="00603237">
        <w:rPr>
          <w:lang w:val="en"/>
        </w:rPr>
        <w:t xml:space="preserve"> (to be used in drawing headings)</w:t>
      </w:r>
    </w:p>
    <w:p w14:paraId="52154666"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 xml:space="preserve">Appendix 7 – Drawing </w:t>
      </w:r>
      <w:proofErr w:type="gramStart"/>
      <w:r w:rsidRPr="00603237">
        <w:rPr>
          <w:lang w:val="en"/>
        </w:rPr>
        <w:t>list</w:t>
      </w:r>
      <w:proofErr w:type="gramEnd"/>
    </w:p>
    <w:p w14:paraId="153A9BB0"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Appendix 8 - SWE-01-018975 (alignment file)</w:t>
      </w:r>
    </w:p>
    <w:p w14:paraId="0473603F" w14:textId="77777777" w:rsidR="00F35721" w:rsidRPr="00603237" w:rsidRDefault="00F35721" w:rsidP="00F35721">
      <w:pPr>
        <w:pStyle w:val="Listeafsnit"/>
        <w:numPr>
          <w:ilvl w:val="1"/>
          <w:numId w:val="15"/>
        </w:numPr>
        <w:tabs>
          <w:tab w:val="left" w:pos="840"/>
        </w:tabs>
        <w:autoSpaceDE w:val="0"/>
        <w:autoSpaceDN w:val="0"/>
        <w:adjustRightInd w:val="0"/>
        <w:jc w:val="left"/>
        <w:rPr>
          <w:lang w:val="en"/>
        </w:rPr>
      </w:pPr>
      <w:r w:rsidRPr="00603237">
        <w:rPr>
          <w:lang w:val="en"/>
        </w:rPr>
        <w:t xml:space="preserve">Appendix 9 - </w:t>
      </w:r>
      <w:proofErr w:type="spellStart"/>
      <w:r w:rsidRPr="00603237">
        <w:rPr>
          <w:lang w:val="en"/>
        </w:rPr>
        <w:t>Blad</w:t>
      </w:r>
      <w:proofErr w:type="spellEnd"/>
      <w:r w:rsidRPr="00603237">
        <w:rPr>
          <w:lang w:val="en"/>
        </w:rPr>
        <w:t xml:space="preserve"> 7941 (SP90 sleeper)</w:t>
      </w:r>
    </w:p>
    <w:p w14:paraId="2E4B871E" w14:textId="77777777" w:rsidR="001D78A1" w:rsidRPr="004E1C94" w:rsidRDefault="001D78A1" w:rsidP="00465561"/>
    <w:p w14:paraId="228B5B6C" w14:textId="48A0CD53" w:rsidR="001D78A1" w:rsidRDefault="001D78A1" w:rsidP="00465561">
      <w:r w:rsidRPr="1CD87487">
        <w:t>I tilfælde af uoverensstemmelse mellem</w:t>
      </w:r>
      <w:r>
        <w:t xml:space="preserve"> de oplistede</w:t>
      </w:r>
      <w:r w:rsidRPr="1CD87487">
        <w:t xml:space="preserve"> bilag og nærværende </w:t>
      </w:r>
      <w:r w:rsidR="00CC64CD">
        <w:t>Aftale</w:t>
      </w:r>
      <w:r w:rsidRPr="1CD87487">
        <w:t xml:space="preserve">, har nærværende </w:t>
      </w:r>
      <w:r w:rsidR="00CC64CD">
        <w:t>Aftale</w:t>
      </w:r>
      <w:r w:rsidRPr="1CD87487">
        <w:t xml:space="preserve"> forrang. </w:t>
      </w:r>
    </w:p>
    <w:p w14:paraId="573F09B0" w14:textId="77777777" w:rsidR="001D78A1" w:rsidRDefault="001D78A1" w:rsidP="00465561"/>
    <w:p w14:paraId="28637B68" w14:textId="48546175" w:rsidR="001D78A1" w:rsidRPr="004E1C94" w:rsidRDefault="001D78A1" w:rsidP="00465561">
      <w:r w:rsidRPr="1CD87487">
        <w:t xml:space="preserve">Leverandørers standardvilkår er ikke en del af </w:t>
      </w:r>
      <w:r>
        <w:t>aftalegrundlaget</w:t>
      </w:r>
      <w:r w:rsidRPr="1CD87487">
        <w:t>.</w:t>
      </w:r>
    </w:p>
    <w:p w14:paraId="0B820FCA" w14:textId="77777777" w:rsidR="001D78A1" w:rsidRDefault="001D78A1" w:rsidP="00465561"/>
    <w:p w14:paraId="17A4650B" w14:textId="613B9CDA" w:rsidR="001D78A1" w:rsidRPr="00781B19" w:rsidRDefault="001D78A1" w:rsidP="00465561">
      <w:r w:rsidRPr="1CD87487">
        <w:t xml:space="preserve">Hvis det efter kontraktindgåelse konstateres, at bilag </w:t>
      </w:r>
      <w:r w:rsidR="00783433">
        <w:t>0</w:t>
      </w:r>
      <w:r w:rsidRPr="1CD87487">
        <w:t xml:space="preserve"> (</w:t>
      </w:r>
      <w:r w:rsidR="00783433">
        <w:t xml:space="preserve">service and </w:t>
      </w:r>
      <w:proofErr w:type="spellStart"/>
      <w:r w:rsidR="00783433">
        <w:t>delivery</w:t>
      </w:r>
      <w:proofErr w:type="spellEnd"/>
      <w:r w:rsidR="00783433">
        <w:t xml:space="preserve"> </w:t>
      </w:r>
      <w:proofErr w:type="spellStart"/>
      <w:r w:rsidR="00783433">
        <w:t>description</w:t>
      </w:r>
      <w:proofErr w:type="spellEnd"/>
      <w:r w:rsidRPr="1CD87487">
        <w:t xml:space="preserve">) ikke opfyldes ved Leverandørens tilbud, skal Leverandøren i fornødent omfang supplere eller ændre Løsningsbeskrivelsen samt </w:t>
      </w:r>
      <w:r w:rsidRPr="1CD87487">
        <w:lastRenderedPageBreak/>
        <w:t>levere sådanne yderligere varer og/eller ydelser</w:t>
      </w:r>
      <w:r w:rsidR="00ED0A20">
        <w:t xml:space="preserve"> </w:t>
      </w:r>
      <w:r w:rsidRPr="1CD87487">
        <w:t>uden yderligere vederlag og inden for de i tidsplanen fastsatte frister.</w:t>
      </w:r>
    </w:p>
    <w:p w14:paraId="18C5145D" w14:textId="77777777" w:rsidR="001D78A1" w:rsidRPr="00781B19" w:rsidRDefault="001D78A1" w:rsidP="00465561"/>
    <w:p w14:paraId="5BAB048E" w14:textId="1ADCD554" w:rsidR="001D78A1" w:rsidRPr="00781B19" w:rsidRDefault="001D78A1" w:rsidP="00465561">
      <w:r w:rsidRPr="00781B19">
        <w:t xml:space="preserve">Såfremt </w:t>
      </w:r>
      <w:r w:rsidR="00003C99" w:rsidRPr="1CD87487">
        <w:t>Leverandørens tilbud</w:t>
      </w:r>
      <w:r>
        <w:t xml:space="preserve"> </w:t>
      </w:r>
      <w:r w:rsidRPr="00781B19">
        <w:t xml:space="preserve">indeholder yderligere funktionalitet, udstyr m.v. end nødvendigt til at opfylde </w:t>
      </w:r>
      <w:r w:rsidR="00B53D56" w:rsidRPr="1CD87487">
        <w:t xml:space="preserve">bilag </w:t>
      </w:r>
      <w:r w:rsidR="00B53D56">
        <w:t>0</w:t>
      </w:r>
      <w:r w:rsidR="00B53D56" w:rsidRPr="1CD87487">
        <w:t xml:space="preserve"> (</w:t>
      </w:r>
      <w:r w:rsidR="00B53D56">
        <w:t xml:space="preserve">service and </w:t>
      </w:r>
      <w:proofErr w:type="spellStart"/>
      <w:r w:rsidR="00B53D56">
        <w:t>delivery</w:t>
      </w:r>
      <w:proofErr w:type="spellEnd"/>
      <w:r w:rsidR="00B53D56">
        <w:t xml:space="preserve"> </w:t>
      </w:r>
      <w:proofErr w:type="spellStart"/>
      <w:r w:rsidR="00B53D56">
        <w:t>description</w:t>
      </w:r>
      <w:proofErr w:type="spellEnd"/>
      <w:r w:rsidR="00B53D56" w:rsidRPr="1CD87487">
        <w:t xml:space="preserve">) </w:t>
      </w:r>
      <w:r w:rsidRPr="00781B19">
        <w:t xml:space="preserve">og uden at dette udtrykkeligt er angivet at være en </w:t>
      </w:r>
      <w:r>
        <w:t>o</w:t>
      </w:r>
      <w:r w:rsidRPr="0064156C">
        <w:t>ption</w:t>
      </w:r>
      <w:r w:rsidRPr="00781B19">
        <w:t>, skal Leverandøren levere dette i tillæg til opfyldelse</w:t>
      </w:r>
      <w:r>
        <w:t>n</w:t>
      </w:r>
      <w:r w:rsidRPr="00781B19">
        <w:t xml:space="preserve"> af </w:t>
      </w:r>
      <w:r>
        <w:t>K</w:t>
      </w:r>
      <w:r w:rsidRPr="00781B19">
        <w:t>ravspecifikationen</w:t>
      </w:r>
      <w:r>
        <w:t xml:space="preserve"> uden yderligere betaling herfor, medmindre det er tydeligt prissat i bilag </w:t>
      </w:r>
      <w:r w:rsidR="00A62EFC">
        <w:t>7</w:t>
      </w:r>
      <w:r>
        <w:t xml:space="preserve"> (Leverandørens tilbud)</w:t>
      </w:r>
      <w:r w:rsidRPr="00781B19">
        <w:t>.</w:t>
      </w:r>
      <w:r>
        <w:t xml:space="preserve"> </w:t>
      </w:r>
    </w:p>
    <w:p w14:paraId="6F2922F2" w14:textId="2A0FC2B1" w:rsidR="005E5E9A" w:rsidRDefault="00CC64CD" w:rsidP="005E5E9A">
      <w:pPr>
        <w:pStyle w:val="Overskrift1"/>
      </w:pPr>
      <w:bookmarkStart w:id="3" w:name="_Toc78806241"/>
      <w:bookmarkStart w:id="4" w:name="_Toc80977967"/>
      <w:bookmarkStart w:id="5" w:name="_Toc113979230"/>
      <w:bookmarkStart w:id="6" w:name="_Toc113984530"/>
      <w:bookmarkStart w:id="7" w:name="_Toc149726703"/>
      <w:r>
        <w:t>Aftale</w:t>
      </w:r>
      <w:r w:rsidR="005E5E9A" w:rsidRPr="00B25551">
        <w:t>ns omfang</w:t>
      </w:r>
      <w:bookmarkEnd w:id="3"/>
      <w:bookmarkEnd w:id="4"/>
      <w:bookmarkEnd w:id="5"/>
      <w:bookmarkEnd w:id="6"/>
      <w:bookmarkEnd w:id="7"/>
      <w:r w:rsidR="005E5E9A" w:rsidRPr="00B25551">
        <w:t xml:space="preserve"> </w:t>
      </w:r>
    </w:p>
    <w:p w14:paraId="182E7D9A" w14:textId="353B6FDA" w:rsidR="005E5E9A" w:rsidRDefault="005E5E9A" w:rsidP="005E5E9A">
      <w:r>
        <w:t xml:space="preserve">Formålet med </w:t>
      </w:r>
      <w:r w:rsidR="00CC64CD">
        <w:t>Aftale</w:t>
      </w:r>
      <w:r>
        <w:t xml:space="preserve">n er </w:t>
      </w:r>
      <w:r w:rsidR="005B356A">
        <w:t xml:space="preserve">levering af </w:t>
      </w:r>
      <w:r w:rsidR="00F424AF" w:rsidRPr="00F424AF">
        <w:t>sporskæring (”</w:t>
      </w:r>
      <w:proofErr w:type="spellStart"/>
      <w:r w:rsidR="00F424AF" w:rsidRPr="00F424AF">
        <w:t>diamond</w:t>
      </w:r>
      <w:proofErr w:type="spellEnd"/>
      <w:r w:rsidR="00F424AF" w:rsidRPr="00F424AF">
        <w:t xml:space="preserve"> </w:t>
      </w:r>
      <w:proofErr w:type="spellStart"/>
      <w:r w:rsidR="00F424AF" w:rsidRPr="00F424AF">
        <w:t>crossing</w:t>
      </w:r>
      <w:proofErr w:type="spellEnd"/>
      <w:r w:rsidR="00F424AF" w:rsidRPr="00F424AF">
        <w:t>”)</w:t>
      </w:r>
      <w:r w:rsidR="00F424AF" w:rsidRPr="00F424AF">
        <w:t xml:space="preserve"> </w:t>
      </w:r>
      <w:r w:rsidR="00F424AF">
        <w:t>til Høje Taastrup Station</w:t>
      </w:r>
      <w:r w:rsidR="00B35961">
        <w:t>, samt forudgående tegningsmateriale, i henhold til nedenstående tidsplan:</w:t>
      </w:r>
      <w:r w:rsidR="00582B44">
        <w:t xml:space="preserve"> </w:t>
      </w:r>
    </w:p>
    <w:p w14:paraId="7D8F2EC7" w14:textId="77777777" w:rsidR="005A3D6D" w:rsidRDefault="005A3D6D" w:rsidP="005E5E9A"/>
    <w:p w14:paraId="1112AFD8"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 xml:space="preserve">22-03-2024 </w:t>
      </w:r>
      <w:r w:rsidRPr="00E927BE">
        <w:rPr>
          <w:sz w:val="18"/>
          <w:szCs w:val="18"/>
          <w:lang w:val="en-GB"/>
        </w:rPr>
        <w:tab/>
        <w:t xml:space="preserve">Sending of tender </w:t>
      </w:r>
      <w:proofErr w:type="gramStart"/>
      <w:r w:rsidRPr="00E927BE">
        <w:rPr>
          <w:sz w:val="18"/>
          <w:szCs w:val="18"/>
          <w:lang w:val="en-GB"/>
        </w:rPr>
        <w:t>materials</w:t>
      </w:r>
      <w:proofErr w:type="gramEnd"/>
    </w:p>
    <w:p w14:paraId="14F0AE8A"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02-04-2024</w:t>
      </w:r>
      <w:r w:rsidRPr="00E927BE">
        <w:rPr>
          <w:sz w:val="18"/>
          <w:szCs w:val="18"/>
          <w:lang w:val="en-GB"/>
        </w:rPr>
        <w:tab/>
        <w:t>Questioning time for tendering materials</w:t>
      </w:r>
    </w:p>
    <w:p w14:paraId="70649908"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05-04-2024</w:t>
      </w:r>
      <w:r w:rsidRPr="00E927BE">
        <w:rPr>
          <w:sz w:val="18"/>
          <w:szCs w:val="18"/>
          <w:lang w:val="en-GB"/>
        </w:rPr>
        <w:tab/>
        <w:t>Bidding price for tender</w:t>
      </w:r>
    </w:p>
    <w:p w14:paraId="5E4FAAE3"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09-04-2024</w:t>
      </w:r>
      <w:r w:rsidRPr="00E927BE">
        <w:rPr>
          <w:sz w:val="18"/>
          <w:szCs w:val="18"/>
          <w:lang w:val="en-GB"/>
        </w:rPr>
        <w:tab/>
        <w:t>Contract signing.</w:t>
      </w:r>
    </w:p>
    <w:p w14:paraId="315B9E5B"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10-04-2024</w:t>
      </w:r>
      <w:r w:rsidRPr="00E927BE">
        <w:rPr>
          <w:sz w:val="18"/>
          <w:szCs w:val="18"/>
          <w:lang w:val="en-GB"/>
        </w:rPr>
        <w:tab/>
        <w:t xml:space="preserve">Drawing production start </w:t>
      </w:r>
    </w:p>
    <w:p w14:paraId="22D6E55F"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10-05-2024</w:t>
      </w:r>
      <w:r w:rsidRPr="00E927BE">
        <w:rPr>
          <w:sz w:val="18"/>
          <w:szCs w:val="18"/>
          <w:lang w:val="en-GB"/>
        </w:rPr>
        <w:tab/>
        <w:t>Delivery of drawing materials</w:t>
      </w:r>
    </w:p>
    <w:p w14:paraId="292A3EF6"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13-05-2024</w:t>
      </w:r>
      <w:r w:rsidRPr="00E927BE">
        <w:rPr>
          <w:sz w:val="18"/>
          <w:szCs w:val="18"/>
          <w:lang w:val="en-GB"/>
        </w:rPr>
        <w:tab/>
        <w:t xml:space="preserve">Drawing review start with </w:t>
      </w:r>
      <w:proofErr w:type="gramStart"/>
      <w:r w:rsidRPr="00E927BE">
        <w:rPr>
          <w:sz w:val="18"/>
          <w:szCs w:val="18"/>
          <w:lang w:val="en-GB"/>
        </w:rPr>
        <w:t>Banedanmark</w:t>
      </w:r>
      <w:proofErr w:type="gramEnd"/>
      <w:r w:rsidRPr="00E927BE">
        <w:rPr>
          <w:sz w:val="18"/>
          <w:szCs w:val="18"/>
          <w:lang w:val="en-GB"/>
        </w:rPr>
        <w:t xml:space="preserve"> </w:t>
      </w:r>
    </w:p>
    <w:p w14:paraId="54BE27DA"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20-05-2024</w:t>
      </w:r>
      <w:r w:rsidRPr="00E927BE">
        <w:rPr>
          <w:sz w:val="18"/>
          <w:szCs w:val="18"/>
          <w:lang w:val="en-GB"/>
        </w:rPr>
        <w:tab/>
        <w:t xml:space="preserve">Drawing revision start with </w:t>
      </w:r>
      <w:proofErr w:type="gramStart"/>
      <w:r w:rsidRPr="00E927BE">
        <w:rPr>
          <w:sz w:val="18"/>
          <w:szCs w:val="18"/>
          <w:lang w:val="en-GB"/>
        </w:rPr>
        <w:t>contractor</w:t>
      </w:r>
      <w:proofErr w:type="gramEnd"/>
      <w:r w:rsidRPr="00E927BE">
        <w:rPr>
          <w:sz w:val="18"/>
          <w:szCs w:val="18"/>
          <w:lang w:val="en-GB"/>
        </w:rPr>
        <w:t xml:space="preserve"> </w:t>
      </w:r>
    </w:p>
    <w:p w14:paraId="1E0BB0C9"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02-06-2024</w:t>
      </w:r>
      <w:r w:rsidRPr="00E927BE">
        <w:rPr>
          <w:sz w:val="18"/>
          <w:szCs w:val="18"/>
          <w:lang w:val="en-GB"/>
        </w:rPr>
        <w:tab/>
        <w:t>Final approval of drawing with Banedanmark</w:t>
      </w:r>
    </w:p>
    <w:p w14:paraId="4189D9A6" w14:textId="77777777" w:rsidR="005A3D6D" w:rsidRPr="00E927BE" w:rsidRDefault="005A3D6D" w:rsidP="005A3D6D">
      <w:pPr>
        <w:pStyle w:val="Listeafsnit"/>
        <w:numPr>
          <w:ilvl w:val="0"/>
          <w:numId w:val="16"/>
        </w:numPr>
        <w:spacing w:line="360" w:lineRule="auto"/>
        <w:contextualSpacing w:val="0"/>
        <w:jc w:val="left"/>
        <w:rPr>
          <w:sz w:val="18"/>
          <w:szCs w:val="18"/>
          <w:lang w:val="en-GB"/>
        </w:rPr>
      </w:pPr>
      <w:r w:rsidRPr="00E927BE">
        <w:rPr>
          <w:sz w:val="18"/>
          <w:szCs w:val="18"/>
          <w:lang w:val="en-GB"/>
        </w:rPr>
        <w:t>15-04-2025</w:t>
      </w:r>
      <w:r w:rsidRPr="00E927BE">
        <w:rPr>
          <w:sz w:val="18"/>
          <w:szCs w:val="18"/>
          <w:lang w:val="en-GB"/>
        </w:rPr>
        <w:tab/>
        <w:t xml:space="preserve">Delivery of crossing (in </w:t>
      </w:r>
      <w:proofErr w:type="spellStart"/>
      <w:r w:rsidRPr="00E927BE">
        <w:rPr>
          <w:sz w:val="18"/>
          <w:szCs w:val="18"/>
          <w:lang w:val="en-GB"/>
        </w:rPr>
        <w:t>Høje</w:t>
      </w:r>
      <w:proofErr w:type="spellEnd"/>
      <w:r w:rsidRPr="00E927BE">
        <w:rPr>
          <w:sz w:val="18"/>
          <w:szCs w:val="18"/>
          <w:lang w:val="en-GB"/>
        </w:rPr>
        <w:t xml:space="preserve"> </w:t>
      </w:r>
      <w:proofErr w:type="spellStart"/>
      <w:r w:rsidRPr="00E927BE">
        <w:rPr>
          <w:sz w:val="18"/>
          <w:szCs w:val="18"/>
          <w:lang w:val="en-GB"/>
        </w:rPr>
        <w:t>Taastrup</w:t>
      </w:r>
      <w:proofErr w:type="spellEnd"/>
      <w:r w:rsidRPr="00E927BE">
        <w:rPr>
          <w:sz w:val="18"/>
          <w:szCs w:val="18"/>
          <w:lang w:val="en-GB"/>
        </w:rPr>
        <w:t xml:space="preserve"> station)</w:t>
      </w:r>
    </w:p>
    <w:p w14:paraId="374C4177" w14:textId="77777777" w:rsidR="00B35961" w:rsidRPr="005A3D6D" w:rsidRDefault="00B35961" w:rsidP="005E5E9A">
      <w:pPr>
        <w:rPr>
          <w:lang w:val="en-GB"/>
        </w:rPr>
      </w:pPr>
    </w:p>
    <w:p w14:paraId="4A952EC6" w14:textId="77777777" w:rsidR="005E5E9A" w:rsidRPr="005A3D6D" w:rsidRDefault="005E5E9A" w:rsidP="005E5E9A">
      <w:pPr>
        <w:rPr>
          <w:lang w:val="en-US"/>
        </w:rPr>
      </w:pPr>
    </w:p>
    <w:p w14:paraId="42193A10" w14:textId="77777777" w:rsidR="005E5E9A" w:rsidRDefault="005E5E9A" w:rsidP="005E5E9A">
      <w:pPr>
        <w:pStyle w:val="Overskrift1"/>
      </w:pPr>
      <w:bookmarkStart w:id="8" w:name="_Toc78806242"/>
      <w:bookmarkStart w:id="9" w:name="_Toc80977968"/>
      <w:bookmarkStart w:id="10" w:name="_Toc113979231"/>
      <w:bookmarkStart w:id="11" w:name="_Toc113984531"/>
      <w:bookmarkStart w:id="12" w:name="_Toc149726704"/>
      <w:r>
        <w:t>Leverandørens ydelser og forpligtigelser</w:t>
      </w:r>
      <w:bookmarkEnd w:id="8"/>
      <w:bookmarkEnd w:id="9"/>
      <w:bookmarkEnd w:id="10"/>
      <w:bookmarkEnd w:id="11"/>
      <w:bookmarkEnd w:id="12"/>
    </w:p>
    <w:p w14:paraId="5CD5625C" w14:textId="77777777" w:rsidR="005E5E9A" w:rsidRPr="00543FC4" w:rsidRDefault="005E5E9A" w:rsidP="005E5E9A"/>
    <w:p w14:paraId="012B4881" w14:textId="77777777" w:rsidR="005E5E9A" w:rsidRDefault="005E5E9A" w:rsidP="005E5E9A">
      <w:pPr>
        <w:pStyle w:val="Overskrift2"/>
      </w:pPr>
      <w:bookmarkStart w:id="13" w:name="_Toc78806243"/>
      <w:bookmarkStart w:id="14" w:name="_Toc80977969"/>
      <w:bookmarkStart w:id="15" w:name="_Toc113979232"/>
      <w:bookmarkStart w:id="16" w:name="_Toc113984532"/>
      <w:r w:rsidRPr="007E06AC">
        <w:t>Generelt</w:t>
      </w:r>
      <w:bookmarkEnd w:id="13"/>
      <w:bookmarkEnd w:id="14"/>
      <w:bookmarkEnd w:id="15"/>
      <w:bookmarkEnd w:id="16"/>
    </w:p>
    <w:p w14:paraId="7489319C" w14:textId="25365BB8" w:rsidR="005E5E9A" w:rsidRPr="00043266" w:rsidRDefault="005E5E9A" w:rsidP="005E5E9A">
      <w:r w:rsidRPr="00043266">
        <w:t xml:space="preserve">Leverandøren skal levere de af </w:t>
      </w:r>
      <w:r w:rsidR="00CC64CD">
        <w:t>Aftale</w:t>
      </w:r>
      <w:r w:rsidRPr="00043266">
        <w:t>n</w:t>
      </w:r>
      <w:r>
        <w:t xml:space="preserve"> omfattede vare(r)</w:t>
      </w:r>
      <w:r w:rsidR="00774B5A">
        <w:t xml:space="preserve"> og dokumenter</w:t>
      </w:r>
      <w:r>
        <w:t xml:space="preserve">, jf. </w:t>
      </w:r>
      <w:r w:rsidR="007D1B03" w:rsidRPr="007D1B03">
        <w:t xml:space="preserve">bilag 0 (service and </w:t>
      </w:r>
      <w:proofErr w:type="spellStart"/>
      <w:r w:rsidR="007D1B03" w:rsidRPr="007D1B03">
        <w:t>delivery</w:t>
      </w:r>
      <w:proofErr w:type="spellEnd"/>
      <w:r w:rsidR="007D1B03" w:rsidRPr="007D1B03">
        <w:t xml:space="preserve"> </w:t>
      </w:r>
      <w:proofErr w:type="spellStart"/>
      <w:r w:rsidR="007D1B03" w:rsidRPr="007D1B03">
        <w:t>description</w:t>
      </w:r>
      <w:proofErr w:type="spellEnd"/>
      <w:r w:rsidR="007D1B03" w:rsidRPr="007D1B03">
        <w:t>)</w:t>
      </w:r>
      <w:r w:rsidR="00774B5A">
        <w:t xml:space="preserve"> samt øvrige bilag.</w:t>
      </w:r>
    </w:p>
    <w:p w14:paraId="4E412914" w14:textId="77777777" w:rsidR="005E5E9A" w:rsidRPr="00043266" w:rsidRDefault="005E5E9A" w:rsidP="005E5E9A"/>
    <w:p w14:paraId="34D1CFF0" w14:textId="18845B6E" w:rsidR="005E5E9A" w:rsidRDefault="005E5E9A" w:rsidP="005E5E9A">
      <w:r w:rsidRPr="00043266">
        <w:t xml:space="preserve">Varerne skal leveres i overensstemmelse med de egenskaber og krav, der følger af nærværende </w:t>
      </w:r>
      <w:r w:rsidR="00CC64CD">
        <w:t>Aftale</w:t>
      </w:r>
      <w:r w:rsidRPr="00043266">
        <w:t xml:space="preserve"> med tilhørende bilag</w:t>
      </w:r>
      <w:r>
        <w:t xml:space="preserve">, herunder </w:t>
      </w:r>
      <w:r w:rsidR="00354E11" w:rsidRPr="00354E11">
        <w:t xml:space="preserve">bilag 0 (service and </w:t>
      </w:r>
      <w:proofErr w:type="spellStart"/>
      <w:r w:rsidR="00354E11" w:rsidRPr="00354E11">
        <w:t>delivery</w:t>
      </w:r>
      <w:proofErr w:type="spellEnd"/>
      <w:r w:rsidR="00354E11" w:rsidRPr="00354E11">
        <w:t xml:space="preserve"> </w:t>
      </w:r>
      <w:proofErr w:type="spellStart"/>
      <w:r w:rsidR="00354E11" w:rsidRPr="00354E11">
        <w:t>description</w:t>
      </w:r>
      <w:proofErr w:type="spellEnd"/>
      <w:proofErr w:type="gramStart"/>
      <w:r w:rsidR="00354E11" w:rsidRPr="00354E11">
        <w:t>)</w:t>
      </w:r>
      <w:r w:rsidR="00354E11">
        <w:t>.</w:t>
      </w:r>
      <w:r w:rsidRPr="00043266">
        <w:t>.</w:t>
      </w:r>
      <w:proofErr w:type="gramEnd"/>
      <w:r w:rsidRPr="00043266">
        <w:t xml:space="preserve"> Leverandøren skal sikre, at varerne har en kvalitet, der svarer til almindelig god kvalitet inden for branchen, og at de pågældende varer er egnet til og har en holdbarhed, som modsvarer det af Banedanmark forudsatte brug.</w:t>
      </w:r>
    </w:p>
    <w:p w14:paraId="32066F46" w14:textId="77777777" w:rsidR="00727303" w:rsidRDefault="00727303" w:rsidP="005E5E9A"/>
    <w:p w14:paraId="702304B3" w14:textId="77777777" w:rsidR="005E5E9A" w:rsidRDefault="005E5E9A" w:rsidP="005E5E9A"/>
    <w:p w14:paraId="0A78310E" w14:textId="2B6A2FA6" w:rsidR="005E5E9A" w:rsidRDefault="005E5E9A" w:rsidP="005E5E9A">
      <w:pPr>
        <w:pStyle w:val="Overskrift2"/>
      </w:pPr>
      <w:bookmarkStart w:id="17" w:name="_Toc78806244"/>
      <w:bookmarkStart w:id="18" w:name="_Toc80977970"/>
      <w:bookmarkStart w:id="19" w:name="_Toc113979233"/>
      <w:bookmarkStart w:id="20" w:name="_Toc113984533"/>
      <w:r w:rsidRPr="005E5E9A">
        <w:t>Samarbejde</w:t>
      </w:r>
      <w:bookmarkEnd w:id="17"/>
      <w:bookmarkEnd w:id="18"/>
      <w:bookmarkEnd w:id="19"/>
      <w:bookmarkEnd w:id="20"/>
    </w:p>
    <w:p w14:paraId="3FFE9A76" w14:textId="77777777" w:rsidR="005E5E9A" w:rsidRDefault="005E5E9A" w:rsidP="005E5E9A">
      <w:r>
        <w:t>Le</w:t>
      </w:r>
      <w:r w:rsidRPr="002813B6">
        <w:t xml:space="preserve">verandøren er forpligtet til at deltage aktivt, loyalt og professionelt i </w:t>
      </w:r>
      <w:r>
        <w:t>samarbejdet med Banedanmark med henblik på at sikre, at Leverancen leveres til rette tid og i rette kvalitet.</w:t>
      </w:r>
    </w:p>
    <w:p w14:paraId="2578796F" w14:textId="77777777" w:rsidR="005E5E9A" w:rsidRDefault="005E5E9A" w:rsidP="005E5E9A"/>
    <w:p w14:paraId="19D765A0" w14:textId="77777777" w:rsidR="005E5E9A" w:rsidRDefault="005E5E9A" w:rsidP="005E5E9A">
      <w:r>
        <w:t xml:space="preserve">Banedanmark indkalder til opstartsmøde i forbindelse med kontraktens ikrafttrædelse. </w:t>
      </w:r>
    </w:p>
    <w:p w14:paraId="77627DD8" w14:textId="77777777" w:rsidR="005E5E9A" w:rsidRDefault="005E5E9A" w:rsidP="005E5E9A"/>
    <w:p w14:paraId="1882B5B1" w14:textId="3F8B51E3" w:rsidR="005E5E9A" w:rsidRPr="00043266" w:rsidRDefault="005E5E9A" w:rsidP="005E5E9A">
      <w:r w:rsidRPr="07CAF2A2">
        <w:lastRenderedPageBreak/>
        <w:t xml:space="preserve">Leverandøren skal løbende orientere Banedanmark skriftligt om alle forhold, der skønnes af væsentlig betydning for Banedanmark i relation til opfyldelse af </w:t>
      </w:r>
      <w:r w:rsidR="00CC64CD">
        <w:t>Aftale</w:t>
      </w:r>
      <w:r w:rsidRPr="07CAF2A2">
        <w:t xml:space="preserve">n.  </w:t>
      </w:r>
    </w:p>
    <w:p w14:paraId="69810244" w14:textId="77777777" w:rsidR="005E5E9A" w:rsidRPr="002813B6" w:rsidRDefault="005E5E9A" w:rsidP="005E5E9A"/>
    <w:p w14:paraId="22BB3D10" w14:textId="7011BD49" w:rsidR="005E5E9A" w:rsidRDefault="005E5E9A" w:rsidP="00D258D4">
      <w:pPr>
        <w:pStyle w:val="Overskrift2"/>
      </w:pPr>
      <w:bookmarkStart w:id="21" w:name="_Toc78806248"/>
      <w:bookmarkStart w:id="22" w:name="_Toc80977973"/>
      <w:bookmarkStart w:id="23" w:name="_Toc113979236"/>
      <w:bookmarkStart w:id="24" w:name="_Toc113984536"/>
      <w:r>
        <w:t>Dokumentation</w:t>
      </w:r>
      <w:bookmarkEnd w:id="21"/>
      <w:bookmarkEnd w:id="22"/>
      <w:bookmarkEnd w:id="23"/>
      <w:bookmarkEnd w:id="24"/>
    </w:p>
    <w:p w14:paraId="042265F5" w14:textId="31CF7170" w:rsidR="005E5E9A" w:rsidRPr="00D258D4" w:rsidRDefault="005E5E9A" w:rsidP="00D258D4">
      <w:r w:rsidRPr="00D258D4">
        <w:t xml:space="preserve">Leverandøren skal som en del af en Leverance tilvejebringe instruktionsmateriale på dansk eller engelsk, herunder brugsanvisninger og anden relevant produktspecifikation. Instruktionsmaterialet overdrages til Banedanmark i forbindelse med levering. </w:t>
      </w:r>
    </w:p>
    <w:p w14:paraId="36AE24FF" w14:textId="77777777" w:rsidR="005E5E9A" w:rsidRPr="00D258D4" w:rsidRDefault="005E5E9A" w:rsidP="00D258D4"/>
    <w:p w14:paraId="51CE1EEE" w14:textId="286224C0" w:rsidR="005E5E9A" w:rsidRPr="00D258D4" w:rsidRDefault="005E5E9A" w:rsidP="00D258D4">
      <w:r w:rsidRPr="00D258D4">
        <w:t xml:space="preserve">Dokumentationen skal udformes i overensstemmelse med brancheskik og opfylde de i </w:t>
      </w:r>
      <w:r w:rsidR="00CC64CD">
        <w:t>Aftale</w:t>
      </w:r>
      <w:r w:rsidRPr="00D258D4">
        <w:t xml:space="preserve">n fastsatte krav, herunder i </w:t>
      </w:r>
      <w:r w:rsidR="00DA7AA5" w:rsidRPr="00DA7AA5">
        <w:t xml:space="preserve">bilag 0 (service and </w:t>
      </w:r>
      <w:proofErr w:type="spellStart"/>
      <w:r w:rsidR="00DA7AA5" w:rsidRPr="00DA7AA5">
        <w:t>delivery</w:t>
      </w:r>
      <w:proofErr w:type="spellEnd"/>
      <w:r w:rsidR="00DA7AA5" w:rsidRPr="00DA7AA5">
        <w:t xml:space="preserve"> </w:t>
      </w:r>
      <w:proofErr w:type="spellStart"/>
      <w:r w:rsidR="00DA7AA5" w:rsidRPr="00DA7AA5">
        <w:t>description</w:t>
      </w:r>
      <w:proofErr w:type="spellEnd"/>
      <w:proofErr w:type="gramStart"/>
      <w:r w:rsidR="00DA7AA5" w:rsidRPr="00DA7AA5">
        <w:t>)</w:t>
      </w:r>
      <w:r w:rsidR="007D1B03">
        <w:t>,.</w:t>
      </w:r>
      <w:proofErr w:type="gramEnd"/>
    </w:p>
    <w:p w14:paraId="0FF53994" w14:textId="77777777" w:rsidR="00FD5CC2" w:rsidRDefault="00FD5CC2" w:rsidP="00FD5CC2">
      <w:pPr>
        <w:pStyle w:val="Overskrift1"/>
      </w:pPr>
      <w:bookmarkStart w:id="25" w:name="_Toc78806271"/>
      <w:bookmarkStart w:id="26" w:name="_Toc80977996"/>
      <w:bookmarkStart w:id="27" w:name="_Toc113979259"/>
      <w:bookmarkStart w:id="28" w:name="_Toc113984559"/>
      <w:bookmarkStart w:id="29" w:name="_Toc149726705"/>
      <w:r>
        <w:t>Ikrafttrædelse og varighed</w:t>
      </w:r>
      <w:bookmarkEnd w:id="25"/>
      <w:bookmarkEnd w:id="26"/>
      <w:bookmarkEnd w:id="27"/>
      <w:bookmarkEnd w:id="28"/>
      <w:bookmarkEnd w:id="29"/>
      <w:r>
        <w:t xml:space="preserve"> </w:t>
      </w:r>
    </w:p>
    <w:p w14:paraId="4DAE8D40" w14:textId="4F0BFB62" w:rsidR="00FD5CC2" w:rsidRPr="00164314" w:rsidRDefault="00CC64CD" w:rsidP="00FD5CC2">
      <w:r>
        <w:t>Aftale</w:t>
      </w:r>
      <w:r w:rsidR="00FD5CC2" w:rsidRPr="75CC5486">
        <w:t xml:space="preserve">n træder i kraft </w:t>
      </w:r>
      <w:r w:rsidR="007F26DC">
        <w:t>9.</w:t>
      </w:r>
      <w:proofErr w:type="gramStart"/>
      <w:r w:rsidR="007F26DC">
        <w:t>4.</w:t>
      </w:r>
      <w:r w:rsidR="00614309">
        <w:t>.</w:t>
      </w:r>
      <w:proofErr w:type="gramEnd"/>
      <w:r w:rsidR="00614309">
        <w:t>2024</w:t>
      </w:r>
      <w:r w:rsidR="00FD5CC2" w:rsidRPr="75CC5486">
        <w:t xml:space="preserve"> og udløber </w:t>
      </w:r>
      <w:r w:rsidR="00B1039B">
        <w:t>ved levering (</w:t>
      </w:r>
      <w:r w:rsidR="00FD5CC2" w:rsidRPr="75CC5486">
        <w:t>den</w:t>
      </w:r>
      <w:r w:rsidR="009164F5">
        <w:t xml:space="preserve"> </w:t>
      </w:r>
      <w:r w:rsidR="007F26DC">
        <w:t>15</w:t>
      </w:r>
      <w:r w:rsidR="009164F5">
        <w:t>.</w:t>
      </w:r>
      <w:r w:rsidR="007F26DC">
        <w:t>4</w:t>
      </w:r>
      <w:r w:rsidR="009164F5">
        <w:t>.202</w:t>
      </w:r>
      <w:r w:rsidR="007F26DC">
        <w:t>5</w:t>
      </w:r>
      <w:r w:rsidR="00B1039B">
        <w:t>)</w:t>
      </w:r>
      <w:r w:rsidR="00FD5CC2" w:rsidRPr="75CC5486">
        <w:t xml:space="preserve"> uden yderligere varsel. </w:t>
      </w:r>
    </w:p>
    <w:p w14:paraId="3C6DA9B7" w14:textId="77777777" w:rsidR="00FD5CC2" w:rsidRPr="00164314" w:rsidRDefault="00FD5CC2" w:rsidP="00FD5CC2"/>
    <w:p w14:paraId="3CB1DD7E" w14:textId="77982850" w:rsidR="006D0885" w:rsidRDefault="00CC64CD" w:rsidP="006D0885">
      <w:r w:rsidRPr="00C50431">
        <w:t>Aftale</w:t>
      </w:r>
      <w:r w:rsidR="006D0885" w:rsidRPr="00C50431">
        <w:t>n er uopsigelig for Parterne i aftaleperioden,</w:t>
      </w:r>
      <w:r w:rsidR="006D0885" w:rsidRPr="00C50431">
        <w:rPr>
          <w:sz w:val="23"/>
          <w:szCs w:val="20"/>
        </w:rPr>
        <w:t xml:space="preserve"> </w:t>
      </w:r>
      <w:r w:rsidR="006D0885" w:rsidRPr="00C50431">
        <w:t>dog med den i</w:t>
      </w:r>
      <w:r w:rsidR="006D0885" w:rsidRPr="00C50431">
        <w:fldChar w:fldCharType="begin"/>
      </w:r>
      <w:r w:rsidR="006D0885" w:rsidRPr="00C50431">
        <w:instrText xml:space="preserve"> REF _Ref127975254 \r </w:instrText>
      </w:r>
      <w:r w:rsidR="00C50431">
        <w:instrText xml:space="preserve"> \* MERGEFORMAT </w:instrText>
      </w:r>
      <w:r w:rsidR="006D0885" w:rsidRPr="00C50431">
        <w:fldChar w:fldCharType="separate"/>
      </w:r>
      <w:r w:rsidR="006D0885" w:rsidRPr="00C50431">
        <w:t>§ 5.1</w:t>
      </w:r>
      <w:r w:rsidR="006D0885" w:rsidRPr="00C50431">
        <w:fldChar w:fldCharType="end"/>
      </w:r>
      <w:r w:rsidR="006D0885" w:rsidRPr="00C50431">
        <w:t xml:space="preserve"> anførte undtagelse.</w:t>
      </w:r>
    </w:p>
    <w:p w14:paraId="3D894D63" w14:textId="77777777" w:rsidR="006D0885" w:rsidRDefault="006D0885" w:rsidP="00FD5CC2"/>
    <w:p w14:paraId="61004E82" w14:textId="77777777" w:rsidR="00FD5CC2" w:rsidRDefault="00FD5CC2" w:rsidP="00FD5CC2"/>
    <w:p w14:paraId="63D0C656" w14:textId="2C3CA5CB" w:rsidR="00FD5CC2" w:rsidRPr="00164314" w:rsidRDefault="00FD5CC2" w:rsidP="00FD5CC2">
      <w:r w:rsidRPr="00164314">
        <w:t xml:space="preserve">Uanset </w:t>
      </w:r>
      <w:r w:rsidR="00CC64CD">
        <w:t>Aftale</w:t>
      </w:r>
      <w:r w:rsidRPr="00164314">
        <w:t xml:space="preserve">ns ophør er Leverandøren fortsat forpligtet til at levere allerede bestilte </w:t>
      </w:r>
      <w:r w:rsidRPr="001C4A91">
        <w:t>varer</w:t>
      </w:r>
      <w:r w:rsidRPr="00164314">
        <w:t xml:space="preserve"> i overensstemmelse med </w:t>
      </w:r>
      <w:r w:rsidR="00CC64CD">
        <w:t>Aftale</w:t>
      </w:r>
      <w:r w:rsidRPr="00164314">
        <w:t xml:space="preserve">ns krav, forudsat at disse </w:t>
      </w:r>
      <w:r w:rsidRPr="001C4A91">
        <w:t>varer</w:t>
      </w:r>
      <w:r w:rsidRPr="00164314">
        <w:t xml:space="preserve"> er bestilt af Banedanmark inden </w:t>
      </w:r>
      <w:r w:rsidR="00CC64CD">
        <w:t>Aftale</w:t>
      </w:r>
      <w:r w:rsidRPr="00164314">
        <w:t xml:space="preserve">ns ophør. </w:t>
      </w:r>
      <w:r>
        <w:t xml:space="preserve">Dette gælder dog ikke, såfremt </w:t>
      </w:r>
      <w:r w:rsidR="00CC64CD">
        <w:t>Aftale</w:t>
      </w:r>
      <w:r>
        <w:t>ns ophør skyldes Banedanmarks misligholdelse.</w:t>
      </w:r>
      <w:r w:rsidRPr="00164314">
        <w:t xml:space="preserve"> </w:t>
      </w:r>
    </w:p>
    <w:p w14:paraId="5B55CDC6" w14:textId="77777777" w:rsidR="00FD5CC2" w:rsidRPr="00164314" w:rsidRDefault="00FD5CC2" w:rsidP="00FD5CC2"/>
    <w:p w14:paraId="05C3FA6D" w14:textId="539BD7FA" w:rsidR="00FD5CC2" w:rsidRDefault="00CC64CD" w:rsidP="00FD5CC2">
      <w:r>
        <w:t>Aftale</w:t>
      </w:r>
      <w:r w:rsidR="00FD5CC2">
        <w:t>n</w:t>
      </w:r>
      <w:r w:rsidR="00FD5CC2" w:rsidRPr="00164314">
        <w:t>s ophør berører ikke gyldigheden af kontraktbestemmelser (om ansvar, fortrolighed</w:t>
      </w:r>
      <w:r w:rsidR="00FD5CC2">
        <w:t>, rettigheder</w:t>
      </w:r>
      <w:r w:rsidR="00FD5CC2" w:rsidRPr="00164314">
        <w:t xml:space="preserve"> mv.), som har til formål at være gældende </w:t>
      </w:r>
      <w:r w:rsidR="00FD5CC2">
        <w:t xml:space="preserve">også efter </w:t>
      </w:r>
      <w:r>
        <w:t>Aftale</w:t>
      </w:r>
      <w:r w:rsidR="00FD5CC2">
        <w:t>ns ophør.</w:t>
      </w:r>
    </w:p>
    <w:p w14:paraId="4A6AE4BD" w14:textId="77777777" w:rsidR="00FD5CC2" w:rsidRDefault="00FD5CC2" w:rsidP="00FD5CC2"/>
    <w:p w14:paraId="01D608E5" w14:textId="77777777" w:rsidR="00FD5CC2" w:rsidRDefault="00FD5CC2" w:rsidP="00FD5CC2">
      <w:pPr>
        <w:pStyle w:val="Overskrift2"/>
      </w:pPr>
      <w:bookmarkStart w:id="30" w:name="_Toc80977997"/>
      <w:bookmarkStart w:id="31" w:name="_Toc113979260"/>
      <w:bookmarkStart w:id="32" w:name="_Toc113984560"/>
      <w:bookmarkStart w:id="33" w:name="_Ref127975254"/>
      <w:bookmarkStart w:id="34" w:name="_Hlk81216714"/>
      <w:r>
        <w:t>Opsigelse som følge af kendelse eller dom</w:t>
      </w:r>
      <w:bookmarkEnd w:id="30"/>
      <w:bookmarkEnd w:id="31"/>
      <w:bookmarkEnd w:id="32"/>
      <w:bookmarkEnd w:id="33"/>
    </w:p>
    <w:bookmarkEnd w:id="34"/>
    <w:p w14:paraId="17F66B77" w14:textId="77777777" w:rsidR="00443C3F" w:rsidRDefault="00FD5CC2" w:rsidP="00FD5CC2">
      <w:r w:rsidRPr="002746DD">
        <w:t>Hvis en domstol eller Klagenævnet for Udbud</w:t>
      </w:r>
      <w:r w:rsidR="00443C3F">
        <w:t>:</w:t>
      </w:r>
      <w:r>
        <w:t xml:space="preserve"> </w:t>
      </w:r>
    </w:p>
    <w:p w14:paraId="101EF9F9" w14:textId="0FE2A9E4" w:rsidR="00443C3F" w:rsidRDefault="00FD5CC2" w:rsidP="00443C3F">
      <w:pPr>
        <w:pStyle w:val="Listeafsnit"/>
        <w:numPr>
          <w:ilvl w:val="0"/>
          <w:numId w:val="13"/>
        </w:numPr>
      </w:pPr>
      <w:r w:rsidRPr="002746DD">
        <w:t xml:space="preserve">annullerer </w:t>
      </w:r>
      <w:r>
        <w:t>Banedanmarks</w:t>
      </w:r>
      <w:r w:rsidRPr="002746DD">
        <w:t xml:space="preserve"> beslutning om at tildele </w:t>
      </w:r>
      <w:r>
        <w:t>L</w:t>
      </w:r>
      <w:r w:rsidRPr="002746DD">
        <w:t xml:space="preserve">everandøren denne </w:t>
      </w:r>
      <w:r w:rsidR="00CC64CD">
        <w:t>Aftale</w:t>
      </w:r>
      <w:r w:rsidRPr="002746DD">
        <w:t>,</w:t>
      </w:r>
      <w:r>
        <w:t xml:space="preserve"> </w:t>
      </w:r>
    </w:p>
    <w:p w14:paraId="35A69DFD" w14:textId="55C944C7" w:rsidR="00443C3F" w:rsidRDefault="00FD5CC2" w:rsidP="00443C3F">
      <w:pPr>
        <w:pStyle w:val="Listeafsnit"/>
        <w:numPr>
          <w:ilvl w:val="0"/>
          <w:numId w:val="13"/>
        </w:numPr>
      </w:pPr>
      <w:r w:rsidRPr="002746DD">
        <w:t xml:space="preserve">erklærer denne </w:t>
      </w:r>
      <w:r w:rsidR="00CC64CD">
        <w:t>Aftale</w:t>
      </w:r>
      <w:r w:rsidRPr="002746DD">
        <w:t xml:space="preserve"> for ”uden virkning”, </w:t>
      </w:r>
    </w:p>
    <w:p w14:paraId="740E8CCF" w14:textId="7BF8F9AB" w:rsidR="00FD5CC2" w:rsidRPr="002746DD" w:rsidRDefault="00FD5CC2" w:rsidP="00443C3F">
      <w:pPr>
        <w:pStyle w:val="Listeafsnit"/>
        <w:numPr>
          <w:ilvl w:val="0"/>
          <w:numId w:val="13"/>
        </w:numPr>
      </w:pPr>
      <w:r w:rsidRPr="002746DD">
        <w:t xml:space="preserve">anser en ændring af denne </w:t>
      </w:r>
      <w:r w:rsidR="00CC64CD">
        <w:t>Aftale</w:t>
      </w:r>
      <w:r w:rsidRPr="002746DD">
        <w:t xml:space="preserve"> for en ændring af </w:t>
      </w:r>
      <w:r>
        <w:t xml:space="preserve">et </w:t>
      </w:r>
      <w:r w:rsidRPr="002746DD">
        <w:t xml:space="preserve">grundlæggende element, der ville have krævet en ny udbudsbekendtgørelse, eller </w:t>
      </w:r>
    </w:p>
    <w:p w14:paraId="6D3CCC45" w14:textId="211DC3BB" w:rsidR="00FD5CC2" w:rsidRPr="002746DD" w:rsidRDefault="00FD5CC2" w:rsidP="00443C3F">
      <w:pPr>
        <w:pStyle w:val="Listeafsnit"/>
        <w:numPr>
          <w:ilvl w:val="0"/>
          <w:numId w:val="13"/>
        </w:numPr>
      </w:pPr>
      <w:r w:rsidRPr="002746DD">
        <w:t xml:space="preserve">i øvrigt pålægger </w:t>
      </w:r>
      <w:r>
        <w:t>Banedanmark</w:t>
      </w:r>
      <w:r w:rsidRPr="002746DD">
        <w:t xml:space="preserve"> at bringe denne </w:t>
      </w:r>
      <w:r w:rsidR="00CC64CD">
        <w:t>Aftale</w:t>
      </w:r>
      <w:r w:rsidRPr="002746DD">
        <w:t xml:space="preserve"> helt eller delvist til ophør, </w:t>
      </w:r>
    </w:p>
    <w:p w14:paraId="507562A2" w14:textId="77777777" w:rsidR="00FD5CC2" w:rsidRDefault="00FD5CC2" w:rsidP="00FD5CC2"/>
    <w:p w14:paraId="70940B31" w14:textId="3B8E6A27" w:rsidR="00FD5CC2" w:rsidRDefault="00FD5CC2" w:rsidP="00FD5CC2">
      <w:r w:rsidRPr="002746DD">
        <w:t xml:space="preserve">kan denne </w:t>
      </w:r>
      <w:r w:rsidR="00CC64CD">
        <w:t>Aftale</w:t>
      </w:r>
      <w:r w:rsidRPr="002746DD">
        <w:t xml:space="preserve"> og eventuelle </w:t>
      </w:r>
      <w:r>
        <w:t>Leverancer</w:t>
      </w:r>
      <w:r w:rsidRPr="002746DD">
        <w:t xml:space="preserve"> indgået på baggrund af </w:t>
      </w:r>
      <w:r w:rsidR="00CC64CD">
        <w:t>Aftale</w:t>
      </w:r>
      <w:r w:rsidRPr="002746DD">
        <w:t xml:space="preserve">n i hele </w:t>
      </w:r>
      <w:r w:rsidR="00CC64CD">
        <w:t>Aftale</w:t>
      </w:r>
      <w:r w:rsidRPr="002746DD">
        <w:t xml:space="preserve">ns løbetid opsiges helt eller delvist af </w:t>
      </w:r>
      <w:r>
        <w:t>Banedanmark</w:t>
      </w:r>
      <w:r w:rsidRPr="002746DD">
        <w:t xml:space="preserve"> </w:t>
      </w:r>
      <w:r w:rsidR="001278CC">
        <w:t xml:space="preserve">30 </w:t>
      </w:r>
      <w:r w:rsidRPr="002746DD">
        <w:t>med dages varsel til den 1. i en måned</w:t>
      </w:r>
      <w:r>
        <w:t xml:space="preserve"> eller i overensstemmelse med den af </w:t>
      </w:r>
      <w:r w:rsidRPr="004522D0">
        <w:t>domstolen eller Klagenævnet for Udbud påbudte frist for ophør</w:t>
      </w:r>
      <w:r w:rsidRPr="002746DD">
        <w:t xml:space="preserve">. </w:t>
      </w:r>
    </w:p>
    <w:p w14:paraId="7A7E40D2" w14:textId="77777777" w:rsidR="00FD5CC2" w:rsidRDefault="00FD5CC2" w:rsidP="00FD5CC2"/>
    <w:p w14:paraId="5889B964" w14:textId="09BFBF15" w:rsidR="00FD5CC2" w:rsidRPr="00576AE6" w:rsidRDefault="00FD5CC2" w:rsidP="00FD5CC2">
      <w:r w:rsidRPr="00576AE6">
        <w:t>Leverandørens eventuelle krav om erstatning eller anden form for godtgørelse som følge af, at</w:t>
      </w:r>
      <w:r>
        <w:t xml:space="preserve"> </w:t>
      </w:r>
      <w:r w:rsidR="00CC64CD">
        <w:t>Aftale</w:t>
      </w:r>
      <w:r>
        <w:t>n</w:t>
      </w:r>
      <w:r w:rsidRPr="00576AE6">
        <w:t xml:space="preserve"> bringes </w:t>
      </w:r>
      <w:r>
        <w:t xml:space="preserve">helt eller delvist </w:t>
      </w:r>
      <w:r w:rsidRPr="00576AE6">
        <w:t xml:space="preserve">til ophør </w:t>
      </w:r>
      <w:r>
        <w:t>i overensstemmelse med denne bestemmelse</w:t>
      </w:r>
      <w:r w:rsidRPr="00576AE6">
        <w:t xml:space="preserve">, skal som udgangspunkt afgøres efter dansk rets almindelige regler. Dog har Parterne aftalt, at bestemmelserne i </w:t>
      </w:r>
      <w:r w:rsidR="001979DF">
        <w:fldChar w:fldCharType="begin"/>
      </w:r>
      <w:r w:rsidR="001979DF">
        <w:instrText xml:space="preserve"> REF _Ref127975296 \r </w:instrText>
      </w:r>
      <w:r w:rsidR="001979DF">
        <w:fldChar w:fldCharType="separate"/>
      </w:r>
      <w:r w:rsidR="005511E1">
        <w:t>§ 20</w:t>
      </w:r>
      <w:r w:rsidR="001979DF">
        <w:fldChar w:fldCharType="end"/>
      </w:r>
      <w:r w:rsidR="005511E1">
        <w:t xml:space="preserve"> </w:t>
      </w:r>
      <w:r w:rsidRPr="00576AE6">
        <w:t xml:space="preserve">om erstatningens omfang og størrelse </w:t>
      </w:r>
      <w:r>
        <w:t>finder anvendelse</w:t>
      </w:r>
      <w:r w:rsidRPr="00576AE6">
        <w:t xml:space="preserve">. </w:t>
      </w:r>
    </w:p>
    <w:p w14:paraId="369A09F8" w14:textId="77777777" w:rsidR="00FD5CC2" w:rsidRPr="00576AE6" w:rsidRDefault="00FD5CC2" w:rsidP="00FD5CC2"/>
    <w:p w14:paraId="4E7D445D" w14:textId="4412FCEC" w:rsidR="00FD5CC2" w:rsidRPr="00576AE6" w:rsidRDefault="00FD5CC2" w:rsidP="00FD5CC2">
      <w:r w:rsidRPr="00576AE6">
        <w:t>Såfremt Leverandøren havde eller burde have haft kendskab til de faktiske og/eller retlige omstændigheder, som bevirker, at</w:t>
      </w:r>
      <w:r>
        <w:t xml:space="preserve"> Banedanmark er berettiget til at opsige </w:t>
      </w:r>
      <w:r w:rsidR="00CC64CD">
        <w:t>Aftale</w:t>
      </w:r>
      <w:r>
        <w:t xml:space="preserve">n i medfør af denne bestemmelse, </w:t>
      </w:r>
      <w:r w:rsidRPr="00576AE6">
        <w:t xml:space="preserve">kan Leverandøren ikke rejse krav om erstatning eller krav om anden form for godtgørelse som følge af, at </w:t>
      </w:r>
      <w:r w:rsidR="00CC64CD">
        <w:t>Aftale</w:t>
      </w:r>
      <w:r>
        <w:t>n</w:t>
      </w:r>
      <w:r w:rsidRPr="00576AE6">
        <w:t xml:space="preserve"> på den baggrund opsiges.</w:t>
      </w:r>
    </w:p>
    <w:p w14:paraId="36B47263" w14:textId="77777777" w:rsidR="00FD5CC2" w:rsidRPr="009B2605" w:rsidRDefault="00FD5CC2" w:rsidP="00FD5CC2"/>
    <w:p w14:paraId="43950832" w14:textId="1C748AB8" w:rsidR="00FD5CC2" w:rsidRPr="002746DD" w:rsidRDefault="00FD5CC2" w:rsidP="00FD5CC2">
      <w:r w:rsidRPr="002746DD">
        <w:lastRenderedPageBreak/>
        <w:t xml:space="preserve">Parterne er enige om, at </w:t>
      </w:r>
      <w:r>
        <w:t xml:space="preserve">nærværende bestemmelse </w:t>
      </w:r>
      <w:r w:rsidRPr="002746DD">
        <w:t xml:space="preserve">er gældende, uanset </w:t>
      </w:r>
      <w:r>
        <w:t>at</w:t>
      </w:r>
      <w:r w:rsidRPr="002746DD">
        <w:t xml:space="preserve"> </w:t>
      </w:r>
      <w:r w:rsidR="00CC64CD">
        <w:t>Aftale</w:t>
      </w:r>
      <w:r>
        <w:t>n</w:t>
      </w:r>
      <w:r w:rsidRPr="002746DD">
        <w:t xml:space="preserve"> i øvrigt måtte blive erklæret for uden virkning.</w:t>
      </w:r>
    </w:p>
    <w:p w14:paraId="6F4D9FB8" w14:textId="77777777" w:rsidR="00FD5CC2" w:rsidRPr="004C2E9A" w:rsidRDefault="00FD5CC2" w:rsidP="0034547C"/>
    <w:p w14:paraId="14EE9315" w14:textId="77777777" w:rsidR="0034547C" w:rsidRDefault="0034547C" w:rsidP="0034547C">
      <w:pPr>
        <w:pStyle w:val="Overskrift1"/>
      </w:pPr>
      <w:bookmarkStart w:id="35" w:name="_Toc149726706"/>
      <w:r w:rsidRPr="00043266">
        <w:t>Bestilling</w:t>
      </w:r>
      <w:bookmarkEnd w:id="35"/>
      <w:r w:rsidRPr="00043266">
        <w:t xml:space="preserve"> </w:t>
      </w:r>
    </w:p>
    <w:p w14:paraId="1F8D4B6C" w14:textId="0FBDDCA3" w:rsidR="0034547C" w:rsidRPr="00043266" w:rsidRDefault="0034547C" w:rsidP="0034547C">
      <w:r w:rsidRPr="00043266">
        <w:t xml:space="preserve">Banedanmark bestiller de af </w:t>
      </w:r>
      <w:r w:rsidR="00CC64CD">
        <w:t>Aftale</w:t>
      </w:r>
      <w:r w:rsidRPr="00043266">
        <w:t>n omfattede varer ved fremsendelse af en skriftlig indkøbsordre (IO) med oplysning om produkt, mængde, pris</w:t>
      </w:r>
      <w:r>
        <w:t>, kontaktperson</w:t>
      </w:r>
      <w:r w:rsidRPr="00043266">
        <w:t xml:space="preserve"> og leveringsadresse. </w:t>
      </w:r>
      <w:r w:rsidR="00A93F35">
        <w:t>Kontrakten er gensidigt forpligtende ved indgåelse, herunder tidsplanen i § 3</w:t>
      </w:r>
      <w:r w:rsidR="006F08AA">
        <w:t xml:space="preserve">, uanset dato for fremsendt indkøbsordre, ordrebekræftelse etc. </w:t>
      </w:r>
    </w:p>
    <w:p w14:paraId="0A9329F5" w14:textId="77777777" w:rsidR="0034547C" w:rsidRPr="00043266" w:rsidRDefault="0034547C" w:rsidP="0034547C"/>
    <w:p w14:paraId="4ABD4690" w14:textId="23F6A6F0" w:rsidR="0034547C" w:rsidRDefault="0034547C" w:rsidP="0034547C">
      <w:r w:rsidRPr="75CC5486">
        <w:t xml:space="preserve">Leverandøren skal uden ugrundet ophold og senest </w:t>
      </w:r>
      <w:r w:rsidR="00582B44">
        <w:t>5</w:t>
      </w:r>
      <w:r w:rsidRPr="75CC5486">
        <w:t xml:space="preserve"> Dage efter modtagelse af indkøbsordren fremsende en skriftlig ordrebekræftelse til Banedanmark. </w:t>
      </w:r>
    </w:p>
    <w:p w14:paraId="5A48E2BE" w14:textId="77777777" w:rsidR="0034547C" w:rsidRDefault="0034547C" w:rsidP="0034547C"/>
    <w:p w14:paraId="392F8A76" w14:textId="77777777" w:rsidR="0034547C" w:rsidRPr="00043266" w:rsidRDefault="0034547C" w:rsidP="0034547C">
      <w:r w:rsidRPr="07CAF2A2">
        <w:t>Indkøbsordrer er bindende, når Leverandørens skriftlige ordrebekræftelse foreligger. Ved ordrebekræftelse forstås en skriftlig tilkendegivelse af modtagelse af indkøbsordre, indeholdende minimum: Banedanmarks indkøbsordrenummer, positionsnummer, leveringsadresse, mængde, leveringsdato, pris, kontaktinformation, varebetegnelse samt Leverandørens ordrebekræftelsesnummer.</w:t>
      </w:r>
    </w:p>
    <w:p w14:paraId="6FDF98DF" w14:textId="77777777" w:rsidR="0034547C" w:rsidRPr="009A1C3A" w:rsidRDefault="0034547C" w:rsidP="0034547C"/>
    <w:p w14:paraId="6FF89234" w14:textId="77777777" w:rsidR="0034547C" w:rsidRPr="00043266" w:rsidRDefault="0034547C" w:rsidP="0034547C">
      <w:r w:rsidRPr="75CC5486">
        <w:t>Såfremt ordrebekræftelsen afviger fra indkøbsordren, gælder indkøbsordrens angivelser, medmindre Banedanmark i det enkelte tilfælde skriftligt overfor Leverandøren har bekræftet andet.</w:t>
      </w:r>
    </w:p>
    <w:p w14:paraId="2E0DC403" w14:textId="77777777" w:rsidR="0034547C" w:rsidRPr="00842062" w:rsidRDefault="0034547C" w:rsidP="0034547C"/>
    <w:p w14:paraId="4C0420BA" w14:textId="74BBCAAF" w:rsidR="0034547C" w:rsidRDefault="0034547C" w:rsidP="0034547C">
      <w:pPr>
        <w:pStyle w:val="Overskrift1"/>
      </w:pPr>
      <w:bookmarkStart w:id="36" w:name="_Toc78806250"/>
      <w:bookmarkStart w:id="37" w:name="_Toc80977975"/>
      <w:bookmarkStart w:id="38" w:name="_Toc113979238"/>
      <w:bookmarkStart w:id="39" w:name="_Toc113984538"/>
      <w:bookmarkStart w:id="40" w:name="_Ref127975347"/>
      <w:bookmarkStart w:id="41" w:name="_Ref127975453"/>
      <w:bookmarkStart w:id="42" w:name="_Toc149726707"/>
      <w:r w:rsidRPr="00043266">
        <w:t>Leveringsbetingelser</w:t>
      </w:r>
      <w:bookmarkEnd w:id="36"/>
      <w:bookmarkEnd w:id="37"/>
      <w:bookmarkEnd w:id="38"/>
      <w:bookmarkEnd w:id="39"/>
      <w:bookmarkEnd w:id="40"/>
      <w:bookmarkEnd w:id="41"/>
      <w:bookmarkEnd w:id="42"/>
    </w:p>
    <w:p w14:paraId="6A29C575" w14:textId="77777777" w:rsidR="00223F1D" w:rsidRPr="00A101E7" w:rsidRDefault="00223F1D" w:rsidP="00223F1D">
      <w:pPr>
        <w:spacing w:after="200" w:line="276" w:lineRule="auto"/>
      </w:pPr>
      <w:r w:rsidRPr="00A101E7">
        <w:t xml:space="preserve">Levering skal ske DDP (Incoterms 2020), som dog udvides til også at omfatte Leverandørens aflæsning på den på indkøbsordren angivne adresse. </w:t>
      </w:r>
    </w:p>
    <w:p w14:paraId="5F890EFD" w14:textId="77777777" w:rsidR="00223F1D" w:rsidRPr="00A101E7" w:rsidRDefault="00223F1D" w:rsidP="00223F1D">
      <w:pPr>
        <w:spacing w:after="200" w:line="276" w:lineRule="auto"/>
      </w:pPr>
      <w:r w:rsidRPr="00A101E7">
        <w:t xml:space="preserve">Levering af hele Sporskifter omfatter tillige afhentning af sveller til fremstilling af Sporskifter samt opbevaring af projektsveller i fremstillingstiden jf. Bilag 1.4: </w:t>
      </w:r>
      <w:proofErr w:type="spellStart"/>
      <w:r w:rsidRPr="00F755E7">
        <w:t>Requirements</w:t>
      </w:r>
      <w:proofErr w:type="spellEnd"/>
      <w:r w:rsidRPr="00F755E7">
        <w:t xml:space="preserve">, </w:t>
      </w:r>
      <w:proofErr w:type="spellStart"/>
      <w:r w:rsidRPr="00F755E7">
        <w:t>Sleeper</w:t>
      </w:r>
      <w:proofErr w:type="spellEnd"/>
      <w:r w:rsidRPr="00F755E7">
        <w:t xml:space="preserve"> transport </w:t>
      </w:r>
      <w:proofErr w:type="spellStart"/>
      <w:r w:rsidRPr="00F755E7">
        <w:t>related</w:t>
      </w:r>
      <w:proofErr w:type="spellEnd"/>
      <w:r w:rsidRPr="00F755E7">
        <w:t xml:space="preserve"> to </w:t>
      </w:r>
      <w:proofErr w:type="spellStart"/>
      <w:r w:rsidRPr="00F755E7">
        <w:t>production</w:t>
      </w:r>
      <w:proofErr w:type="spellEnd"/>
      <w:r w:rsidRPr="00F755E7">
        <w:t xml:space="preserve"> of </w:t>
      </w:r>
      <w:proofErr w:type="spellStart"/>
      <w:r w:rsidRPr="00F755E7">
        <w:t>Turnouts</w:t>
      </w:r>
      <w:proofErr w:type="spellEnd"/>
      <w:r w:rsidRPr="00A101E7">
        <w:t>.</w:t>
      </w:r>
    </w:p>
    <w:p w14:paraId="2810F8EC" w14:textId="77777777" w:rsidR="00223F1D" w:rsidRPr="00A101E7" w:rsidRDefault="00223F1D" w:rsidP="00223F1D">
      <w:pPr>
        <w:spacing w:after="200" w:line="276" w:lineRule="auto"/>
      </w:pPr>
      <w:r w:rsidRPr="00A101E7">
        <w:t>Levering anses som sket, når følgende betingelser er opfyldt:</w:t>
      </w:r>
    </w:p>
    <w:p w14:paraId="2E2A36A0" w14:textId="77777777" w:rsidR="00223F1D" w:rsidRPr="00F704C1" w:rsidRDefault="00223F1D" w:rsidP="00223F1D">
      <w:pPr>
        <w:pStyle w:val="Listeafsnit"/>
        <w:numPr>
          <w:ilvl w:val="0"/>
          <w:numId w:val="17"/>
        </w:numPr>
        <w:rPr>
          <w:iCs/>
        </w:rPr>
      </w:pPr>
      <w:r w:rsidRPr="00F704C1">
        <w:rPr>
          <w:iCs/>
        </w:rPr>
        <w:t xml:space="preserve">Leverancen er leveret og aflæsset på aftalt adresse. </w:t>
      </w:r>
    </w:p>
    <w:p w14:paraId="247E5724" w14:textId="77777777" w:rsidR="00223F1D" w:rsidRPr="00F704C1" w:rsidRDefault="00223F1D" w:rsidP="00223F1D">
      <w:pPr>
        <w:pStyle w:val="Listeafsnit"/>
        <w:numPr>
          <w:ilvl w:val="0"/>
          <w:numId w:val="17"/>
        </w:numPr>
        <w:rPr>
          <w:iCs/>
        </w:rPr>
      </w:pPr>
      <w:r w:rsidRPr="00F704C1">
        <w:rPr>
          <w:iCs/>
        </w:rPr>
        <w:t>Leverancen er ledsaget af en følgeseddel med specifikation af Banedanmarks påkrævede informationer, indeholdende:</w:t>
      </w:r>
    </w:p>
    <w:p w14:paraId="1DE1D0B4" w14:textId="77777777" w:rsidR="00223F1D" w:rsidRPr="00F704C1" w:rsidRDefault="00223F1D" w:rsidP="00223F1D">
      <w:pPr>
        <w:pStyle w:val="Listeafsnit"/>
        <w:numPr>
          <w:ilvl w:val="0"/>
          <w:numId w:val="18"/>
        </w:numPr>
        <w:rPr>
          <w:iCs/>
        </w:rPr>
      </w:pPr>
      <w:r w:rsidRPr="00F704C1">
        <w:rPr>
          <w:iCs/>
        </w:rPr>
        <w:t>Leverandørens navn og adresse.</w:t>
      </w:r>
    </w:p>
    <w:p w14:paraId="7B104DF2" w14:textId="77777777" w:rsidR="00223F1D" w:rsidRPr="00F704C1" w:rsidRDefault="00223F1D" w:rsidP="00223F1D">
      <w:pPr>
        <w:pStyle w:val="Listeafsnit"/>
        <w:numPr>
          <w:ilvl w:val="0"/>
          <w:numId w:val="18"/>
        </w:numPr>
        <w:rPr>
          <w:iCs/>
        </w:rPr>
      </w:pPr>
      <w:r w:rsidRPr="00F704C1">
        <w:rPr>
          <w:iCs/>
        </w:rPr>
        <w:t>Banedanmarks indkøbsordrenummer.</w:t>
      </w:r>
    </w:p>
    <w:p w14:paraId="3B8B44D6" w14:textId="77777777" w:rsidR="00223F1D" w:rsidRPr="00F704C1" w:rsidRDefault="00223F1D" w:rsidP="00223F1D">
      <w:pPr>
        <w:pStyle w:val="Listeafsnit"/>
        <w:numPr>
          <w:ilvl w:val="0"/>
          <w:numId w:val="18"/>
        </w:numPr>
        <w:rPr>
          <w:iCs/>
        </w:rPr>
      </w:pPr>
      <w:r w:rsidRPr="00F704C1">
        <w:rPr>
          <w:iCs/>
        </w:rPr>
        <w:t>Varenavn.</w:t>
      </w:r>
    </w:p>
    <w:p w14:paraId="68DC8C66" w14:textId="77777777" w:rsidR="00223F1D" w:rsidRPr="00F704C1" w:rsidRDefault="00223F1D" w:rsidP="00223F1D">
      <w:pPr>
        <w:pStyle w:val="Listeafsnit"/>
        <w:numPr>
          <w:ilvl w:val="0"/>
          <w:numId w:val="18"/>
        </w:numPr>
        <w:rPr>
          <w:iCs/>
        </w:rPr>
      </w:pPr>
      <w:r w:rsidRPr="00F704C1">
        <w:rPr>
          <w:iCs/>
        </w:rPr>
        <w:t>Varens Banedanmark-varenummer, hvis dette er angivet på ordren.</w:t>
      </w:r>
    </w:p>
    <w:p w14:paraId="700309E8" w14:textId="77777777" w:rsidR="00223F1D" w:rsidRPr="00F704C1" w:rsidRDefault="00223F1D" w:rsidP="00223F1D">
      <w:pPr>
        <w:pStyle w:val="Listeafsnit"/>
        <w:numPr>
          <w:ilvl w:val="0"/>
          <w:numId w:val="18"/>
        </w:numPr>
        <w:rPr>
          <w:iCs/>
        </w:rPr>
      </w:pPr>
      <w:r w:rsidRPr="00F704C1">
        <w:rPr>
          <w:iCs/>
        </w:rPr>
        <w:t>Leverandørens varenummer.</w:t>
      </w:r>
    </w:p>
    <w:p w14:paraId="3F9FF5DA" w14:textId="77777777" w:rsidR="00223F1D" w:rsidRPr="00F704C1" w:rsidRDefault="00223F1D" w:rsidP="00223F1D">
      <w:pPr>
        <w:pStyle w:val="Listeafsnit"/>
        <w:numPr>
          <w:ilvl w:val="0"/>
          <w:numId w:val="18"/>
        </w:numPr>
        <w:rPr>
          <w:iCs/>
        </w:rPr>
      </w:pPr>
      <w:r w:rsidRPr="00F704C1">
        <w:rPr>
          <w:iCs/>
        </w:rPr>
        <w:t>Type og antal.</w:t>
      </w:r>
    </w:p>
    <w:p w14:paraId="76A78DAD" w14:textId="77777777" w:rsidR="00223F1D" w:rsidRPr="00F704C1" w:rsidRDefault="00223F1D" w:rsidP="00223F1D">
      <w:pPr>
        <w:pStyle w:val="Listeafsnit"/>
        <w:numPr>
          <w:ilvl w:val="0"/>
          <w:numId w:val="18"/>
        </w:numPr>
        <w:rPr>
          <w:iCs/>
        </w:rPr>
      </w:pPr>
      <w:r w:rsidRPr="00F704C1">
        <w:rPr>
          <w:iCs/>
        </w:rPr>
        <w:t>Positionsnummer på Banedanmarks indkøbsordre.</w:t>
      </w:r>
    </w:p>
    <w:p w14:paraId="14F30BC1" w14:textId="77777777" w:rsidR="00223F1D" w:rsidRPr="00F704C1" w:rsidRDefault="00223F1D" w:rsidP="00223F1D">
      <w:pPr>
        <w:rPr>
          <w:bCs/>
        </w:rPr>
      </w:pPr>
    </w:p>
    <w:p w14:paraId="4B169FCA" w14:textId="77777777" w:rsidR="00223F1D" w:rsidRPr="00A101E7" w:rsidRDefault="00223F1D" w:rsidP="00223F1D">
      <w:pPr>
        <w:spacing w:after="200" w:line="276" w:lineRule="auto"/>
      </w:pPr>
      <w:r w:rsidRPr="00A101E7">
        <w:t>Udover ovenstående, anses levering som sket, når Banedanmark har kvitteret for modtagelsen. Forud for levering, skal det aftales parterne imellem, hvem hos Banedanmark kvitterer for modtagelsen. Kvittering for modtagelsen afskærer ikke Banedanmark fra at reklamere over forkert levering eller mangelfuldt indhold i øvrigt.</w:t>
      </w:r>
    </w:p>
    <w:p w14:paraId="3DFCD675" w14:textId="77777777" w:rsidR="00223F1D" w:rsidRPr="00A101E7" w:rsidRDefault="00223F1D" w:rsidP="00223F1D">
      <w:pPr>
        <w:spacing w:after="200" w:line="276" w:lineRule="auto"/>
      </w:pPr>
      <w:r w:rsidRPr="00A101E7">
        <w:lastRenderedPageBreak/>
        <w:t>Leverancen skal ske i henhold til Bilag 5: logistik i Banedanmark.</w:t>
      </w:r>
    </w:p>
    <w:p w14:paraId="27BC2AAF" w14:textId="77777777" w:rsidR="00223F1D" w:rsidRPr="00F704C1" w:rsidRDefault="00223F1D" w:rsidP="00223F1D">
      <w:pPr>
        <w:spacing w:after="200" w:line="276" w:lineRule="auto"/>
        <w:rPr>
          <w:bCs/>
          <w:highlight w:val="yellow"/>
        </w:rPr>
      </w:pPr>
      <w:r w:rsidRPr="00A101E7">
        <w:t>Leverancer vil typisk ske på site i Danmark, hvor Sporskiftet vil finde anvendelse, men kan også ske til</w:t>
      </w:r>
      <w:r w:rsidRPr="00F704C1">
        <w:rPr>
          <w:bCs/>
        </w:rPr>
        <w:t xml:space="preserve"> Banedanmark på følgende adresser</w:t>
      </w:r>
      <w:r>
        <w:rPr>
          <w:bCs/>
        </w:rPr>
        <w:t>:</w:t>
      </w:r>
    </w:p>
    <w:p w14:paraId="78BE4FCA" w14:textId="77777777" w:rsidR="00223F1D" w:rsidRPr="00F704C1" w:rsidRDefault="00223F1D" w:rsidP="00223F1D">
      <w:pPr>
        <w:ind w:left="360"/>
        <w:rPr>
          <w:bCs/>
        </w:rPr>
      </w:pPr>
      <w:r w:rsidRPr="00F704C1">
        <w:rPr>
          <w:bCs/>
        </w:rPr>
        <w:t>Banedanmark</w:t>
      </w:r>
    </w:p>
    <w:p w14:paraId="3807FEE1" w14:textId="77777777" w:rsidR="00223F1D" w:rsidRPr="00F704C1" w:rsidRDefault="00223F1D" w:rsidP="00223F1D">
      <w:pPr>
        <w:ind w:left="360"/>
        <w:rPr>
          <w:bCs/>
        </w:rPr>
      </w:pPr>
      <w:r w:rsidRPr="00F704C1">
        <w:rPr>
          <w:bCs/>
        </w:rPr>
        <w:t>Hovedlager 30</w:t>
      </w:r>
    </w:p>
    <w:p w14:paraId="25C9D961" w14:textId="77777777" w:rsidR="00223F1D" w:rsidRPr="00F704C1" w:rsidRDefault="00223F1D" w:rsidP="00223F1D">
      <w:pPr>
        <w:ind w:left="360"/>
        <w:rPr>
          <w:bCs/>
        </w:rPr>
      </w:pPr>
      <w:r w:rsidRPr="00F704C1">
        <w:rPr>
          <w:bCs/>
        </w:rPr>
        <w:t>Bygholm Parkvej 4</w:t>
      </w:r>
    </w:p>
    <w:p w14:paraId="4BA51755" w14:textId="77777777" w:rsidR="00223F1D" w:rsidRPr="00F704C1" w:rsidRDefault="00223F1D" w:rsidP="00223F1D">
      <w:pPr>
        <w:ind w:left="360"/>
        <w:rPr>
          <w:bCs/>
        </w:rPr>
      </w:pPr>
      <w:r w:rsidRPr="00F704C1">
        <w:rPr>
          <w:bCs/>
        </w:rPr>
        <w:t>DK-8700 Horsens</w:t>
      </w:r>
    </w:p>
    <w:p w14:paraId="31AD965C" w14:textId="135A7277" w:rsidR="00223F1D" w:rsidRDefault="00223F1D" w:rsidP="00223F1D">
      <w:pPr>
        <w:rPr>
          <w:bCs/>
        </w:rPr>
      </w:pPr>
    </w:p>
    <w:p w14:paraId="6B6E0B61" w14:textId="77777777" w:rsidR="00223F1D" w:rsidRPr="00F704C1" w:rsidRDefault="00223F1D" w:rsidP="00223F1D">
      <w:pPr>
        <w:ind w:left="360"/>
        <w:rPr>
          <w:bCs/>
        </w:rPr>
      </w:pPr>
      <w:r w:rsidRPr="00F704C1">
        <w:rPr>
          <w:bCs/>
        </w:rPr>
        <w:t>Banedanmark</w:t>
      </w:r>
    </w:p>
    <w:p w14:paraId="77B77EC6" w14:textId="77777777" w:rsidR="00223F1D" w:rsidRPr="00F704C1" w:rsidRDefault="00223F1D" w:rsidP="00223F1D">
      <w:pPr>
        <w:ind w:left="360"/>
        <w:rPr>
          <w:bCs/>
        </w:rPr>
      </w:pPr>
      <w:r w:rsidRPr="00F704C1">
        <w:rPr>
          <w:bCs/>
        </w:rPr>
        <w:t>Hovedlager Øst</w:t>
      </w:r>
    </w:p>
    <w:p w14:paraId="5587598E" w14:textId="77777777" w:rsidR="00223F1D" w:rsidRPr="00F704C1" w:rsidRDefault="00223F1D" w:rsidP="00223F1D">
      <w:pPr>
        <w:ind w:left="360"/>
        <w:rPr>
          <w:bCs/>
        </w:rPr>
      </w:pPr>
      <w:proofErr w:type="spellStart"/>
      <w:r w:rsidRPr="00F704C1">
        <w:rPr>
          <w:bCs/>
        </w:rPr>
        <w:t>Baldersbuen</w:t>
      </w:r>
      <w:proofErr w:type="spellEnd"/>
    </w:p>
    <w:p w14:paraId="44837E84" w14:textId="77777777" w:rsidR="00223F1D" w:rsidRPr="00F704C1" w:rsidRDefault="00223F1D" w:rsidP="00223F1D">
      <w:pPr>
        <w:ind w:left="360"/>
        <w:rPr>
          <w:bCs/>
        </w:rPr>
      </w:pPr>
      <w:r w:rsidRPr="00F704C1">
        <w:rPr>
          <w:bCs/>
        </w:rPr>
        <w:t>DK</w:t>
      </w:r>
      <w:r>
        <w:rPr>
          <w:bCs/>
        </w:rPr>
        <w:t>-</w:t>
      </w:r>
      <w:r w:rsidRPr="00F704C1">
        <w:rPr>
          <w:bCs/>
        </w:rPr>
        <w:t>2640 Hedehusene</w:t>
      </w:r>
    </w:p>
    <w:p w14:paraId="0399774E" w14:textId="77777777" w:rsidR="00223F1D" w:rsidRPr="00F704C1" w:rsidRDefault="00223F1D" w:rsidP="00223F1D">
      <w:pPr>
        <w:rPr>
          <w:bCs/>
          <w:highlight w:val="yellow"/>
        </w:rPr>
      </w:pPr>
    </w:p>
    <w:p w14:paraId="3182ADA6" w14:textId="77777777" w:rsidR="00223F1D" w:rsidRPr="00A101E7" w:rsidRDefault="00223F1D" w:rsidP="00223F1D">
      <w:pPr>
        <w:spacing w:after="200" w:line="276" w:lineRule="auto"/>
      </w:pPr>
      <w:bookmarkStart w:id="43" w:name="_Hlk126535257"/>
      <w:r w:rsidRPr="00A101E7">
        <w:t>Endelig leveringsadresse vil være specifikt angivet på Indkøbsordre.</w:t>
      </w:r>
    </w:p>
    <w:bookmarkEnd w:id="43"/>
    <w:p w14:paraId="7D4C89A0" w14:textId="77777777" w:rsidR="00223F1D" w:rsidRPr="00A101E7" w:rsidRDefault="00223F1D" w:rsidP="00223F1D">
      <w:pPr>
        <w:spacing w:after="200" w:line="276" w:lineRule="auto"/>
      </w:pPr>
      <w:r w:rsidRPr="00A101E7">
        <w:t>Levering skal ske på Arbejdsdage mellem kl. 08.00 og 14.00. Dog skal enhver levering aftales skriftligt med Banedanmark inden leveringen finder sted.</w:t>
      </w:r>
    </w:p>
    <w:p w14:paraId="7C48B489" w14:textId="77777777" w:rsidR="00223F1D" w:rsidRPr="00A101E7" w:rsidRDefault="00223F1D" w:rsidP="00223F1D">
      <w:pPr>
        <w:spacing w:after="200" w:line="276" w:lineRule="auto"/>
      </w:pPr>
      <w:r w:rsidRPr="00A101E7">
        <w:t xml:space="preserve">Leverandøren er ansvarlig for, at Leverancen er forsvarligt og hensigtsmæssigt emballeret under hensyntagen til Leverancens beskaffenhed og transportform, ligeledes i henhold til Bilag 5; Logistik i Banedanmark. </w:t>
      </w:r>
    </w:p>
    <w:p w14:paraId="0C42DDE4" w14:textId="77777777" w:rsidR="00223F1D" w:rsidRPr="00A101E7" w:rsidRDefault="00223F1D" w:rsidP="00223F1D">
      <w:pPr>
        <w:spacing w:after="200" w:line="276" w:lineRule="auto"/>
      </w:pPr>
      <w:r w:rsidRPr="00A101E7">
        <w:t>Fastsættelsen af et leveringstidspunkt, der indebærer en kortere leveringsfrist, end hvad der følger af Bilag 2: Tilbudsliste, forudsætter Leverandørens samtykke.</w:t>
      </w:r>
    </w:p>
    <w:p w14:paraId="7C471984" w14:textId="77777777" w:rsidR="00223F1D" w:rsidRPr="00A101E7" w:rsidRDefault="00223F1D" w:rsidP="00223F1D">
      <w:pPr>
        <w:spacing w:after="200" w:line="276" w:lineRule="auto"/>
      </w:pPr>
      <w:r w:rsidRPr="00A101E7">
        <w:t>Leveringstiden beregnes fra tidspunktet for Leverandørens modtagelse af indkøbsordre til levering finder sted på det korrekte leveringssted. Det forhold at Leverandøren bekræfter alternativt tidspunkt for Leverance har ikke indvirken på den leveringstid, der ligger til grund for opgørelse af evt. forsinkelse, jf. § 19.2.</w:t>
      </w:r>
    </w:p>
    <w:p w14:paraId="4EAAC4CE" w14:textId="77777777" w:rsidR="00223F1D" w:rsidRPr="00A101E7" w:rsidRDefault="00223F1D" w:rsidP="00223F1D">
      <w:pPr>
        <w:spacing w:after="200" w:line="276" w:lineRule="auto"/>
      </w:pPr>
      <w:r w:rsidRPr="00A101E7">
        <w:t>Forinden Leverandøren iværksætter transport af leverancer til den af Banedanmark angivne leveringsadresse, skal Leverandøren kontakte Banedanmarks kontaktperson, som fremgår af den pågældende indkøbsordre, og få bekræftet, at levering kan finde sted. Levering må ikke finde sted, medmindre Leverandøren har modtaget den nævnte bekræftelse.</w:t>
      </w:r>
    </w:p>
    <w:p w14:paraId="08BC0A8F" w14:textId="77777777" w:rsidR="00223F1D" w:rsidRPr="00F704C1" w:rsidRDefault="00223F1D" w:rsidP="00223F1D">
      <w:pPr>
        <w:spacing w:after="200" w:line="276" w:lineRule="auto"/>
      </w:pPr>
      <w:bookmarkStart w:id="44" w:name="_Hlk125548839"/>
      <w:bookmarkStart w:id="45" w:name="_Hlk126535565"/>
      <w:r w:rsidRPr="00F704C1">
        <w:t>Levering af tegningsmateriale</w:t>
      </w:r>
      <w:r>
        <w:t xml:space="preserve"> eller anden dokumentation</w:t>
      </w:r>
      <w:r w:rsidRPr="00F704C1">
        <w:t xml:space="preserve"> leveres per mail til den på Indkøbsordren angivne kontaktperson</w:t>
      </w:r>
      <w:r>
        <w:t>, alternativt til den medarbejder i Banedanmark, der måtte efterspørge denne</w:t>
      </w:r>
      <w:r w:rsidRPr="00F704C1">
        <w:t>.</w:t>
      </w:r>
    </w:p>
    <w:bookmarkEnd w:id="44"/>
    <w:bookmarkEnd w:id="45"/>
    <w:p w14:paraId="1BE00545" w14:textId="77777777" w:rsidR="0034547C" w:rsidRDefault="0034547C" w:rsidP="0034547C"/>
    <w:p w14:paraId="7C36EAF9" w14:textId="3CB4A3C8" w:rsidR="0034547C" w:rsidRDefault="0034547C" w:rsidP="009D31B4">
      <w:pPr>
        <w:pStyle w:val="Overskrift1"/>
      </w:pPr>
      <w:bookmarkStart w:id="46" w:name="_Toc78806251"/>
      <w:bookmarkStart w:id="47" w:name="_Toc80977976"/>
      <w:bookmarkStart w:id="48" w:name="_Toc113979239"/>
      <w:bookmarkStart w:id="49" w:name="_Toc113984539"/>
      <w:bookmarkStart w:id="50" w:name="_Toc149726708"/>
      <w:r>
        <w:t>Priser</w:t>
      </w:r>
      <w:bookmarkEnd w:id="46"/>
      <w:r>
        <w:t xml:space="preserve"> og prisregulering</w:t>
      </w:r>
      <w:bookmarkEnd w:id="47"/>
      <w:bookmarkEnd w:id="48"/>
      <w:bookmarkEnd w:id="49"/>
      <w:bookmarkEnd w:id="50"/>
    </w:p>
    <w:p w14:paraId="2FBFC631" w14:textId="1078418A" w:rsidR="0034547C" w:rsidRDefault="00F41A21" w:rsidP="007A6FBB">
      <w:r>
        <w:t xml:space="preserve">Prisen for levering af tegningsmateriale og sporskifte er </w:t>
      </w:r>
      <w:r w:rsidRPr="00F41A21">
        <w:rPr>
          <w:b/>
          <w:bCs/>
        </w:rPr>
        <w:t>xx DKK</w:t>
      </w:r>
      <w:r>
        <w:t>.</w:t>
      </w:r>
    </w:p>
    <w:p w14:paraId="2B5F7C4F" w14:textId="77777777" w:rsidR="0091370E" w:rsidRDefault="0091370E" w:rsidP="007A6FBB"/>
    <w:p w14:paraId="1E3DED6D" w14:textId="07670349" w:rsidR="00F41A21" w:rsidRPr="00615313" w:rsidRDefault="004B3673" w:rsidP="007A6FBB">
      <w:pPr>
        <w:rPr>
          <w:lang w:val="en-US"/>
        </w:rPr>
      </w:pPr>
      <w:proofErr w:type="spellStart"/>
      <w:r w:rsidRPr="00D2589F">
        <w:rPr>
          <w:lang w:val="en-US"/>
        </w:rPr>
        <w:t>Heraf</w:t>
      </w:r>
      <w:proofErr w:type="spellEnd"/>
      <w:r w:rsidRPr="00D2589F">
        <w:rPr>
          <w:lang w:val="en-US"/>
        </w:rPr>
        <w:t xml:space="preserve"> </w:t>
      </w:r>
      <w:proofErr w:type="spellStart"/>
      <w:r w:rsidRPr="00D2589F">
        <w:rPr>
          <w:lang w:val="en-US"/>
        </w:rPr>
        <w:t>betales</w:t>
      </w:r>
      <w:proofErr w:type="spellEnd"/>
      <w:r w:rsidRPr="00D2589F">
        <w:rPr>
          <w:lang w:val="en-US"/>
        </w:rPr>
        <w:t xml:space="preserve"> DKK 90.000</w:t>
      </w:r>
      <w:r w:rsidRPr="00615313">
        <w:rPr>
          <w:lang w:val="en-US"/>
        </w:rPr>
        <w:t xml:space="preserve"> </w:t>
      </w:r>
      <w:proofErr w:type="spellStart"/>
      <w:proofErr w:type="gramStart"/>
      <w:r w:rsidRPr="00615313">
        <w:rPr>
          <w:lang w:val="en-US"/>
        </w:rPr>
        <w:t>ved</w:t>
      </w:r>
      <w:proofErr w:type="spellEnd"/>
      <w:r w:rsidRPr="00615313">
        <w:rPr>
          <w:lang w:val="en-US"/>
        </w:rPr>
        <w:t xml:space="preserve"> </w:t>
      </w:r>
      <w:r w:rsidR="00D2589F" w:rsidRPr="00615313">
        <w:rPr>
          <w:lang w:val="en-US"/>
        </w:rPr>
        <w:t>”</w:t>
      </w:r>
      <w:proofErr w:type="gramEnd"/>
      <w:r w:rsidR="00D2589F" w:rsidRPr="00615313">
        <w:rPr>
          <w:lang w:val="en-US"/>
        </w:rPr>
        <w:t xml:space="preserve"> </w:t>
      </w:r>
      <w:r w:rsidR="00D2589F" w:rsidRPr="00615313">
        <w:rPr>
          <w:lang w:val="en-US"/>
        </w:rPr>
        <w:t>Final approval of drawing with Banedanmark</w:t>
      </w:r>
      <w:r w:rsidR="00D2589F" w:rsidRPr="00615313">
        <w:rPr>
          <w:lang w:val="en-US"/>
        </w:rPr>
        <w:t>” (§ 3, pkt 9)</w:t>
      </w:r>
      <w:r w:rsidR="00615313" w:rsidRPr="00615313">
        <w:rPr>
          <w:lang w:val="en-US"/>
        </w:rPr>
        <w:t>.</w:t>
      </w:r>
      <w:r w:rsidR="00615313">
        <w:rPr>
          <w:lang w:val="en-US"/>
        </w:rPr>
        <w:t xml:space="preserve"> </w:t>
      </w:r>
      <w:proofErr w:type="spellStart"/>
      <w:r w:rsidR="00615313">
        <w:rPr>
          <w:lang w:val="en-US"/>
        </w:rPr>
        <w:t>Resten</w:t>
      </w:r>
      <w:proofErr w:type="spellEnd"/>
      <w:r w:rsidR="00615313">
        <w:rPr>
          <w:lang w:val="en-US"/>
        </w:rPr>
        <w:t xml:space="preserve"> </w:t>
      </w:r>
      <w:proofErr w:type="spellStart"/>
      <w:r w:rsidR="00615313">
        <w:rPr>
          <w:lang w:val="en-US"/>
        </w:rPr>
        <w:t>af</w:t>
      </w:r>
      <w:proofErr w:type="spellEnd"/>
      <w:r w:rsidR="00615313">
        <w:rPr>
          <w:lang w:val="en-US"/>
        </w:rPr>
        <w:t xml:space="preserve"> </w:t>
      </w:r>
      <w:proofErr w:type="spellStart"/>
      <w:r w:rsidR="00615313">
        <w:rPr>
          <w:lang w:val="en-US"/>
        </w:rPr>
        <w:t>beløbet</w:t>
      </w:r>
      <w:proofErr w:type="spellEnd"/>
      <w:r w:rsidR="00615313">
        <w:rPr>
          <w:lang w:val="en-US"/>
        </w:rPr>
        <w:t xml:space="preserve"> </w:t>
      </w:r>
      <w:proofErr w:type="spellStart"/>
      <w:r w:rsidR="00615313">
        <w:rPr>
          <w:lang w:val="en-US"/>
        </w:rPr>
        <w:t>betales</w:t>
      </w:r>
      <w:proofErr w:type="spellEnd"/>
      <w:r w:rsidR="00615313">
        <w:rPr>
          <w:lang w:val="en-US"/>
        </w:rPr>
        <w:t xml:space="preserve"> </w:t>
      </w:r>
      <w:proofErr w:type="spellStart"/>
      <w:r w:rsidR="00615313">
        <w:rPr>
          <w:lang w:val="en-US"/>
        </w:rPr>
        <w:t>efter</w:t>
      </w:r>
      <w:proofErr w:type="spellEnd"/>
      <w:r w:rsidR="00615313">
        <w:rPr>
          <w:lang w:val="en-US"/>
        </w:rPr>
        <w:t xml:space="preserve"> levering </w:t>
      </w:r>
      <w:proofErr w:type="spellStart"/>
      <w:r w:rsidR="00615313">
        <w:rPr>
          <w:lang w:val="en-US"/>
        </w:rPr>
        <w:t>af</w:t>
      </w:r>
      <w:proofErr w:type="spellEnd"/>
      <w:r w:rsidR="00615313">
        <w:rPr>
          <w:lang w:val="en-US"/>
        </w:rPr>
        <w:t xml:space="preserve"> </w:t>
      </w:r>
      <w:proofErr w:type="spellStart"/>
      <w:r w:rsidR="00615313">
        <w:rPr>
          <w:lang w:val="en-US"/>
        </w:rPr>
        <w:t>sporskæringen</w:t>
      </w:r>
      <w:proofErr w:type="spellEnd"/>
      <w:r w:rsidR="00615313">
        <w:rPr>
          <w:lang w:val="en-US"/>
        </w:rPr>
        <w:t xml:space="preserve">. </w:t>
      </w:r>
    </w:p>
    <w:p w14:paraId="1069E378" w14:textId="77777777" w:rsidR="00F41A21" w:rsidRPr="00D2589F" w:rsidRDefault="00F41A21" w:rsidP="007A6FBB">
      <w:pPr>
        <w:rPr>
          <w:lang w:val="en-US"/>
        </w:rPr>
      </w:pPr>
    </w:p>
    <w:p w14:paraId="6B231F6A" w14:textId="48CA3541" w:rsidR="0034547C" w:rsidRDefault="0034547C" w:rsidP="007A6FBB">
      <w:r w:rsidRPr="001A2CCC">
        <w:t>Alle priser er i</w:t>
      </w:r>
      <w:r w:rsidR="00582B44">
        <w:t xml:space="preserve"> danske kroner </w:t>
      </w:r>
      <w:r w:rsidRPr="001A2CCC">
        <w:t xml:space="preserve">og inkluderer told og øvrige afgifter bortset fra moms. </w:t>
      </w:r>
    </w:p>
    <w:p w14:paraId="3D7908A3" w14:textId="77777777" w:rsidR="0034547C" w:rsidRDefault="0034547C" w:rsidP="007A6FBB"/>
    <w:p w14:paraId="674D3B0A" w14:textId="0BCC4884" w:rsidR="0034547C" w:rsidRDefault="0034547C" w:rsidP="007A6FBB">
      <w:r w:rsidRPr="001A2CCC">
        <w:lastRenderedPageBreak/>
        <w:t xml:space="preserve">I priserne er endvidere inkluderet samtlige Leverandørens omkostninger, herunder udgifter forbundet med transport, emballering, forsikring, dokumentation mv. </w:t>
      </w:r>
    </w:p>
    <w:p w14:paraId="18DEE911" w14:textId="77777777" w:rsidR="0034547C" w:rsidRDefault="0034547C" w:rsidP="007A6FBB"/>
    <w:p w14:paraId="3AA0035F" w14:textId="77777777" w:rsidR="0034547C" w:rsidRPr="001A2CCC" w:rsidRDefault="0034547C" w:rsidP="007A6FBB">
      <w:pPr>
        <w:pStyle w:val="Overskrift2"/>
      </w:pPr>
      <w:r>
        <w:t>Prisregulering</w:t>
      </w:r>
    </w:p>
    <w:p w14:paraId="27AE3751" w14:textId="77777777" w:rsidR="0034547C" w:rsidRDefault="0034547C" w:rsidP="007A6FBB"/>
    <w:p w14:paraId="4BEB0F3D" w14:textId="6159A953" w:rsidR="0034547C" w:rsidRDefault="00582B44" w:rsidP="0034547C">
      <w:r>
        <w:t>Priserne reguleres ikke.</w:t>
      </w:r>
    </w:p>
    <w:p w14:paraId="13B46AA2" w14:textId="4620CEF6" w:rsidR="0034547C" w:rsidRDefault="0034547C" w:rsidP="00084C13">
      <w:pPr>
        <w:pStyle w:val="Overskrift1"/>
      </w:pPr>
      <w:bookmarkStart w:id="51" w:name="_Toc78806252"/>
      <w:bookmarkStart w:id="52" w:name="_Toc80977977"/>
      <w:bookmarkStart w:id="53" w:name="_Toc113979240"/>
      <w:bookmarkStart w:id="54" w:name="_Toc113984540"/>
      <w:bookmarkStart w:id="55" w:name="_Toc149726709"/>
      <w:r w:rsidRPr="001A2CCC">
        <w:t>Betalingsbetingelser og fakturering</w:t>
      </w:r>
      <w:bookmarkEnd w:id="51"/>
      <w:bookmarkEnd w:id="52"/>
      <w:bookmarkEnd w:id="53"/>
      <w:bookmarkEnd w:id="54"/>
      <w:bookmarkEnd w:id="55"/>
    </w:p>
    <w:p w14:paraId="0B6B89AB" w14:textId="58869FEF" w:rsidR="0034547C" w:rsidRPr="00A25A8B" w:rsidRDefault="0034547C" w:rsidP="00084C13">
      <w:r w:rsidRPr="00A25A8B">
        <w:t>Leverandøren er berettiget til at fakturere Banedanmark, når lev</w:t>
      </w:r>
      <w:r>
        <w:t>ering har fundet sted, jf.</w:t>
      </w:r>
      <w:r w:rsidR="007F038F">
        <w:t xml:space="preserve"> </w:t>
      </w:r>
      <w:r w:rsidR="001979DF">
        <w:fldChar w:fldCharType="begin"/>
      </w:r>
      <w:r w:rsidR="001979DF">
        <w:instrText xml:space="preserve"> REF _Ref127975347 \r </w:instrText>
      </w:r>
      <w:r w:rsidR="001979DF">
        <w:fldChar w:fldCharType="separate"/>
      </w:r>
      <w:r w:rsidR="007F038F">
        <w:t>§ 7</w:t>
      </w:r>
      <w:r w:rsidR="001979DF">
        <w:fldChar w:fldCharType="end"/>
      </w:r>
      <w:r w:rsidRPr="00A25A8B">
        <w:t xml:space="preserve">. </w:t>
      </w:r>
    </w:p>
    <w:p w14:paraId="378D1D2B" w14:textId="77777777" w:rsidR="0034547C" w:rsidRPr="00A25A8B" w:rsidRDefault="0034547C" w:rsidP="00084C13"/>
    <w:p w14:paraId="3BA4CF5E" w14:textId="77777777" w:rsidR="0034547C" w:rsidRPr="00A25A8B" w:rsidRDefault="0034547C" w:rsidP="00084C13">
      <w:r w:rsidRPr="00A25A8B">
        <w:t xml:space="preserve">Fakturaer sendes i elektronisk format i OIOUBL til: </w:t>
      </w:r>
    </w:p>
    <w:p w14:paraId="3CB40D55" w14:textId="77777777" w:rsidR="0034547C" w:rsidRPr="00A25A8B" w:rsidRDefault="0034547C" w:rsidP="00084C13"/>
    <w:p w14:paraId="62705AF5" w14:textId="77777777" w:rsidR="0034547C" w:rsidRPr="00A25A8B" w:rsidRDefault="0034547C" w:rsidP="00084C13">
      <w:pPr>
        <w:ind w:left="1304"/>
      </w:pPr>
      <w:r w:rsidRPr="00A25A8B">
        <w:t>Banedanmark</w:t>
      </w:r>
    </w:p>
    <w:p w14:paraId="0B5E441F" w14:textId="77777777" w:rsidR="0034547C" w:rsidRPr="00A25A8B" w:rsidRDefault="0034547C" w:rsidP="00084C13">
      <w:pPr>
        <w:ind w:left="1304"/>
      </w:pPr>
      <w:r w:rsidRPr="00A25A8B">
        <w:t>Bogholderiet</w:t>
      </w:r>
    </w:p>
    <w:p w14:paraId="3A6807F1" w14:textId="77777777" w:rsidR="0034547C" w:rsidRPr="00A25A8B" w:rsidRDefault="0034547C" w:rsidP="00084C13">
      <w:pPr>
        <w:ind w:left="1304"/>
      </w:pPr>
      <w:r>
        <w:t>Carsten Niebuhrs Gade 43</w:t>
      </w:r>
    </w:p>
    <w:p w14:paraId="4405889C" w14:textId="77777777" w:rsidR="0034547C" w:rsidRPr="00A25A8B" w:rsidRDefault="0034547C" w:rsidP="00084C13">
      <w:pPr>
        <w:ind w:left="1304"/>
      </w:pPr>
      <w:r>
        <w:t>1577</w:t>
      </w:r>
      <w:r w:rsidRPr="00A25A8B">
        <w:t xml:space="preserve"> K</w:t>
      </w:r>
      <w:r>
        <w:t>øbenhavn V</w:t>
      </w:r>
    </w:p>
    <w:p w14:paraId="23569D45" w14:textId="45147E5B" w:rsidR="0034547C" w:rsidRPr="00A25A8B" w:rsidRDefault="0034547C" w:rsidP="00084C13">
      <w:pPr>
        <w:ind w:left="1304"/>
      </w:pPr>
      <w:r w:rsidRPr="00A25A8B">
        <w:t xml:space="preserve">Att.: </w:t>
      </w:r>
      <w:r w:rsidR="00823559">
        <w:t>xx</w:t>
      </w:r>
    </w:p>
    <w:p w14:paraId="4CDC1650" w14:textId="77777777" w:rsidR="0034547C" w:rsidRPr="00A25A8B" w:rsidRDefault="0034547C" w:rsidP="00084C13"/>
    <w:p w14:paraId="3250E862" w14:textId="77777777" w:rsidR="0034547C" w:rsidRPr="00A25A8B" w:rsidRDefault="0034547C" w:rsidP="00084C13">
      <w:r w:rsidRPr="00A25A8B">
        <w:t>Banedanmarks EAN-nummer: 5798000893207</w:t>
      </w:r>
    </w:p>
    <w:p w14:paraId="64EFD1F7" w14:textId="77777777" w:rsidR="0034547C" w:rsidRPr="00A25A8B" w:rsidRDefault="0034547C" w:rsidP="00084C13"/>
    <w:p w14:paraId="5F56CCD1" w14:textId="77777777" w:rsidR="0034547C" w:rsidRPr="00A25A8B" w:rsidRDefault="0034547C" w:rsidP="00084C13">
      <w:r w:rsidRPr="00A25A8B">
        <w:t>Fakturaer mærkes med Banedanmarks referenceperson, kontraktnummer og indkøbsordrenummer (IO-nr.).</w:t>
      </w:r>
    </w:p>
    <w:p w14:paraId="1FFC50D5" w14:textId="77777777" w:rsidR="0034547C" w:rsidRPr="00A25A8B" w:rsidRDefault="0034547C" w:rsidP="00084C13"/>
    <w:p w14:paraId="2DB5CC3A" w14:textId="3F9431FB" w:rsidR="0034547C" w:rsidRPr="005E6025" w:rsidRDefault="0034547C" w:rsidP="00084C13">
      <w:r w:rsidRPr="00A25A8B">
        <w:t xml:space="preserve">Betalingsbetingelserne er 30 </w:t>
      </w:r>
      <w:r>
        <w:t>D</w:t>
      </w:r>
      <w:r w:rsidRPr="00A25A8B">
        <w:t xml:space="preserve">age regnet fra det tidspunkt, hvor Leverandøren har afsendt elektronisk faktura. </w:t>
      </w:r>
    </w:p>
    <w:p w14:paraId="3268A689" w14:textId="77777777" w:rsidR="0034547C" w:rsidRDefault="0034547C" w:rsidP="0034547C"/>
    <w:p w14:paraId="73C9AAF6" w14:textId="6DB09C36" w:rsidR="0034547C" w:rsidRDefault="0034547C" w:rsidP="00EA4FB6">
      <w:pPr>
        <w:pStyle w:val="Overskrift1"/>
      </w:pPr>
      <w:bookmarkStart w:id="56" w:name="_Toc78806253"/>
      <w:bookmarkStart w:id="57" w:name="_Toc80977978"/>
      <w:bookmarkStart w:id="58" w:name="_Toc113979241"/>
      <w:bookmarkStart w:id="59" w:name="_Toc113984541"/>
      <w:bookmarkStart w:id="60" w:name="_Toc149726710"/>
      <w:r w:rsidRPr="00A25A8B">
        <w:t>Rettigheder</w:t>
      </w:r>
      <w:bookmarkEnd w:id="56"/>
      <w:bookmarkEnd w:id="57"/>
      <w:bookmarkEnd w:id="58"/>
      <w:bookmarkEnd w:id="59"/>
      <w:bookmarkEnd w:id="60"/>
    </w:p>
    <w:p w14:paraId="1AB08D5D" w14:textId="5CD6EC3D" w:rsidR="0034547C" w:rsidRPr="00A25A8B" w:rsidRDefault="0034547C" w:rsidP="00EA4FB6">
      <w:r w:rsidRPr="00A25A8B">
        <w:t xml:space="preserve">Leverandøren garanterer, at Leverandøren i forbindelse med udførelsen af sine forpligtelser i henhold til nærværende </w:t>
      </w:r>
      <w:r w:rsidR="00CC64CD">
        <w:t>Aftale</w:t>
      </w:r>
      <w:r w:rsidRPr="00A25A8B">
        <w:t xml:space="preserve"> ikke krænker andres rettigheder, herunder patenter eller ophavsrettigheder. </w:t>
      </w:r>
    </w:p>
    <w:p w14:paraId="022BF524" w14:textId="77777777" w:rsidR="0034547C" w:rsidRPr="00A25A8B" w:rsidRDefault="0034547C" w:rsidP="00EA4FB6"/>
    <w:p w14:paraId="6B681D13" w14:textId="77777777" w:rsidR="0034547C" w:rsidRPr="00A25A8B" w:rsidRDefault="0034547C" w:rsidP="00EA4FB6"/>
    <w:p w14:paraId="1430482F" w14:textId="77777777" w:rsidR="0034547C" w:rsidRPr="00A25A8B" w:rsidRDefault="0034547C" w:rsidP="00EA4FB6">
      <w:r w:rsidRPr="00A25A8B">
        <w:t xml:space="preserve">Hvis der sker en krænkelse af tredjemandsrettigheder, er Leverandøren forpligtet til for egen regning at sikre Banedanmark retten til fortsat at </w:t>
      </w:r>
      <w:r>
        <w:t>modtage Leverancen</w:t>
      </w:r>
      <w:r w:rsidRPr="00A25A8B">
        <w:t>.</w:t>
      </w:r>
    </w:p>
    <w:p w14:paraId="1B4DFB3C" w14:textId="77777777" w:rsidR="0034547C" w:rsidRPr="00A25A8B" w:rsidRDefault="0034547C" w:rsidP="00EA4FB6"/>
    <w:p w14:paraId="19ABDD34" w14:textId="77777777" w:rsidR="0034547C" w:rsidRPr="00A25A8B" w:rsidRDefault="0034547C" w:rsidP="00EA4FB6">
      <w:r w:rsidRPr="00A25A8B">
        <w:t xml:space="preserve">Hvis tredjemand rejser erstatningskrav over for Banedanmark som følge af forhold, der kan tilskrives Leverandøren, er Leverandøren forpligtet til at </w:t>
      </w:r>
      <w:proofErr w:type="spellStart"/>
      <w:r>
        <w:t>skadesløsholde</w:t>
      </w:r>
      <w:proofErr w:type="spellEnd"/>
      <w:r w:rsidRPr="00A25A8B">
        <w:t xml:space="preserve"> Banedanmark for ethvert krav og alle hermed forbundne omkostninger.</w:t>
      </w:r>
    </w:p>
    <w:p w14:paraId="7151D467" w14:textId="77777777" w:rsidR="0034547C" w:rsidRPr="00A25A8B" w:rsidRDefault="0034547C" w:rsidP="00EA4FB6"/>
    <w:p w14:paraId="6B4E5C51" w14:textId="77777777" w:rsidR="0034547C" w:rsidRPr="00A25A8B" w:rsidRDefault="0034547C" w:rsidP="00EA4FB6">
      <w:r w:rsidRPr="00A25A8B">
        <w:t xml:space="preserve">Hvis der rejses sag om krænkelse af tredjemandsrettigheder mod en af Parterne, skal Parterne straks orientere hinanden </w:t>
      </w:r>
      <w:r>
        <w:t>og</w:t>
      </w:r>
      <w:r w:rsidRPr="00A25A8B">
        <w:t xml:space="preserve"> loyalt samarbejde om håndtering af sagen.</w:t>
      </w:r>
    </w:p>
    <w:p w14:paraId="383874A8" w14:textId="77777777" w:rsidR="0034547C" w:rsidRPr="00E85910" w:rsidRDefault="0034547C" w:rsidP="00EA4FB6"/>
    <w:p w14:paraId="68E013CA" w14:textId="3BFB731E" w:rsidR="0034547C" w:rsidRDefault="0034547C" w:rsidP="00EA4FB6">
      <w:pPr>
        <w:pStyle w:val="Overskrift1"/>
      </w:pPr>
      <w:bookmarkStart w:id="61" w:name="_Toc78806254"/>
      <w:bookmarkStart w:id="62" w:name="_Toc80977979"/>
      <w:bookmarkStart w:id="63" w:name="_Toc113979242"/>
      <w:bookmarkStart w:id="64" w:name="_Toc113984542"/>
      <w:bookmarkStart w:id="65" w:name="_Toc149726711"/>
      <w:r w:rsidRPr="00A25A8B">
        <w:t>Overdragelse af rettigheder og forpligtelser</w:t>
      </w:r>
      <w:bookmarkEnd w:id="61"/>
      <w:bookmarkEnd w:id="62"/>
      <w:bookmarkEnd w:id="63"/>
      <w:bookmarkEnd w:id="64"/>
      <w:bookmarkEnd w:id="65"/>
    </w:p>
    <w:p w14:paraId="77642683" w14:textId="77777777" w:rsidR="0034547C" w:rsidRPr="004F7E99" w:rsidRDefault="0034547C" w:rsidP="00EA4FB6"/>
    <w:p w14:paraId="582672A3" w14:textId="5E42DAEF" w:rsidR="0034547C" w:rsidRDefault="0034547C" w:rsidP="000317DE">
      <w:r w:rsidRPr="004F7E99">
        <w:lastRenderedPageBreak/>
        <w:t xml:space="preserve">Leverandøren kan hverken helt eller delvist overdrage sine rettigheder eller forpligtelser i henhold til denne </w:t>
      </w:r>
      <w:r w:rsidR="00CC64CD">
        <w:t>Aftale</w:t>
      </w:r>
      <w:r w:rsidRPr="004F7E99">
        <w:t xml:space="preserve"> til tredjemand uden forudgående skriftlig accept af Banedanmark. Banedanmark kan ikke nægte en sådan accept uden saglig grund</w:t>
      </w:r>
      <w:r>
        <w:t>.</w:t>
      </w:r>
    </w:p>
    <w:p w14:paraId="5608CB94" w14:textId="77777777" w:rsidR="0034547C" w:rsidRDefault="0034547C" w:rsidP="000317DE"/>
    <w:p w14:paraId="2A76C9FA" w14:textId="21ACE5C2" w:rsidR="0034547C" w:rsidRDefault="0034547C" w:rsidP="000317DE">
      <w:pPr>
        <w:pStyle w:val="Overskrift1"/>
      </w:pPr>
      <w:bookmarkStart w:id="66" w:name="_Toc78806255"/>
      <w:bookmarkStart w:id="67" w:name="_Toc80977980"/>
      <w:bookmarkStart w:id="68" w:name="_Toc113979243"/>
      <w:bookmarkStart w:id="69" w:name="_Toc113984543"/>
      <w:bookmarkStart w:id="70" w:name="_Toc149726712"/>
      <w:r>
        <w:t>Benyttelse af underleve</w:t>
      </w:r>
      <w:r w:rsidRPr="004F7E99">
        <w:t>randør</w:t>
      </w:r>
      <w:r>
        <w:t>er</w:t>
      </w:r>
      <w:bookmarkEnd w:id="66"/>
      <w:bookmarkEnd w:id="67"/>
      <w:bookmarkEnd w:id="68"/>
      <w:bookmarkEnd w:id="69"/>
      <w:bookmarkEnd w:id="70"/>
    </w:p>
    <w:p w14:paraId="2A2F542A" w14:textId="395C8D79" w:rsidR="0034547C" w:rsidRPr="004F7E99" w:rsidRDefault="0034547C" w:rsidP="000317DE">
      <w:r w:rsidRPr="004F7E99">
        <w:t xml:space="preserve">Leverandøren kan i forbindelse med </w:t>
      </w:r>
      <w:r w:rsidR="00CC64CD">
        <w:t>Aftale</w:t>
      </w:r>
      <w:r w:rsidRPr="004F7E99">
        <w:t xml:space="preserve">ns opfyldelse anvende underleverandører. </w:t>
      </w:r>
    </w:p>
    <w:p w14:paraId="74BC88A6" w14:textId="77777777" w:rsidR="0034547C" w:rsidRDefault="0034547C" w:rsidP="000317DE"/>
    <w:p w14:paraId="7FD34DC0" w14:textId="77777777" w:rsidR="0034547C" w:rsidRPr="00267AF6" w:rsidRDefault="0034547C" w:rsidP="000317DE">
      <w:r w:rsidRPr="00267AF6">
        <w:t>Al kommunikation foregår med Leverandøren uanset anvendelsen af underleverandører, medmindre andet er udtrykkeligt</w:t>
      </w:r>
      <w:r>
        <w:t>,</w:t>
      </w:r>
      <w:r w:rsidRPr="00267AF6">
        <w:t xml:space="preserve"> skriftligt aftalt.</w:t>
      </w:r>
    </w:p>
    <w:p w14:paraId="685AABEB" w14:textId="77777777" w:rsidR="0034547C" w:rsidRDefault="0034547C" w:rsidP="000317DE"/>
    <w:p w14:paraId="7982493C" w14:textId="77777777" w:rsidR="0034547C" w:rsidRPr="00172F91" w:rsidRDefault="0034547C" w:rsidP="000317DE">
      <w:r w:rsidRPr="00172F91">
        <w:t xml:space="preserve">Leverandøren hæfter for underleverandørers </w:t>
      </w:r>
      <w:r>
        <w:t>L</w:t>
      </w:r>
      <w:r w:rsidRPr="00172F91">
        <w:t xml:space="preserve">everancer på samme måde som for sine egne forhold. </w:t>
      </w:r>
    </w:p>
    <w:p w14:paraId="16406E19" w14:textId="77777777" w:rsidR="0034547C" w:rsidRDefault="0034547C" w:rsidP="000317DE"/>
    <w:p w14:paraId="40CC6CC1" w14:textId="052CA190" w:rsidR="0034547C" w:rsidRDefault="0034547C" w:rsidP="000317DE">
      <w:pPr>
        <w:pStyle w:val="Overskrift1"/>
      </w:pPr>
      <w:bookmarkStart w:id="71" w:name="_Toc78806256"/>
      <w:bookmarkStart w:id="72" w:name="_Toc80977981"/>
      <w:bookmarkStart w:id="73" w:name="_Toc113979244"/>
      <w:bookmarkStart w:id="74" w:name="_Toc113984544"/>
      <w:bookmarkStart w:id="75" w:name="_Toc149726713"/>
      <w:r>
        <w:t>Persondata</w:t>
      </w:r>
      <w:bookmarkEnd w:id="71"/>
      <w:bookmarkEnd w:id="72"/>
      <w:bookmarkEnd w:id="73"/>
      <w:bookmarkEnd w:id="74"/>
      <w:bookmarkEnd w:id="75"/>
    </w:p>
    <w:p w14:paraId="7D750060" w14:textId="1DD17A89" w:rsidR="0034547C" w:rsidRDefault="0034547C" w:rsidP="000317DE">
      <w:r w:rsidRPr="00172F91">
        <w:t xml:space="preserve">Såfremt </w:t>
      </w:r>
      <w:r>
        <w:t>L</w:t>
      </w:r>
      <w:r w:rsidRPr="00172F91">
        <w:t xml:space="preserve">everandøren behandler personoplysninger som en del af </w:t>
      </w:r>
      <w:r w:rsidR="00CC64CD">
        <w:t>Aftale</w:t>
      </w:r>
      <w:r w:rsidRPr="00172F91">
        <w:t>ns udfør</w:t>
      </w:r>
      <w:r>
        <w:t>else</w:t>
      </w:r>
      <w:r w:rsidRPr="00172F91">
        <w:t xml:space="preserve">, er </w:t>
      </w:r>
      <w:r>
        <w:t>L</w:t>
      </w:r>
      <w:r w:rsidRPr="00172F91">
        <w:t xml:space="preserve">everandøren forpligtet til at sikre, at den til enhver tid gældende persondatalovgivning i Danmark overholdes for den af </w:t>
      </w:r>
      <w:r>
        <w:t>L</w:t>
      </w:r>
      <w:r w:rsidRPr="00172F91">
        <w:t>everandøren udførte behandling</w:t>
      </w:r>
      <w:r>
        <w:t>.</w:t>
      </w:r>
    </w:p>
    <w:p w14:paraId="0C9C6208" w14:textId="77777777" w:rsidR="0034547C" w:rsidRPr="00172F91" w:rsidRDefault="0034547C" w:rsidP="000317DE"/>
    <w:p w14:paraId="666989D2" w14:textId="77777777" w:rsidR="0034547C" w:rsidRPr="00A25A8B" w:rsidRDefault="0034547C" w:rsidP="000317DE"/>
    <w:p w14:paraId="79D930FA" w14:textId="0EFFD540" w:rsidR="0034547C" w:rsidRDefault="0034547C" w:rsidP="000317DE">
      <w:pPr>
        <w:pStyle w:val="Overskrift1"/>
      </w:pPr>
      <w:bookmarkStart w:id="76" w:name="_Toc78806257"/>
      <w:bookmarkStart w:id="77" w:name="_Toc80977982"/>
      <w:bookmarkStart w:id="78" w:name="_Toc113979245"/>
      <w:bookmarkStart w:id="79" w:name="_Toc113984545"/>
      <w:bookmarkStart w:id="80" w:name="_Toc149726714"/>
      <w:r w:rsidRPr="004F7E99">
        <w:t>Tavshedspligt</w:t>
      </w:r>
      <w:bookmarkEnd w:id="76"/>
      <w:bookmarkEnd w:id="77"/>
      <w:bookmarkEnd w:id="78"/>
      <w:bookmarkEnd w:id="79"/>
      <w:bookmarkEnd w:id="80"/>
    </w:p>
    <w:p w14:paraId="1C38D20C" w14:textId="77777777" w:rsidR="0034547C" w:rsidRPr="004F7E99" w:rsidRDefault="0034547C" w:rsidP="000317DE">
      <w:r w:rsidRPr="004F7E99">
        <w:t xml:space="preserve">Begge </w:t>
      </w:r>
      <w:r>
        <w:t>P</w:t>
      </w:r>
      <w:r w:rsidRPr="004F7E99">
        <w:t xml:space="preserve">arter og eventuelle underleverandører er forpligtet til at hemmeligholde enhver viden og oplysning som de måtte komme i besiddelse af vedrørende den anden </w:t>
      </w:r>
      <w:r>
        <w:t>P</w:t>
      </w:r>
      <w:r w:rsidRPr="004F7E99">
        <w:t xml:space="preserve">arts kommercielle og personalemæssige forhold, tekniske forhold mv. </w:t>
      </w:r>
    </w:p>
    <w:p w14:paraId="4ADEC723" w14:textId="77777777" w:rsidR="0034547C" w:rsidRPr="004F7E99" w:rsidRDefault="0034547C" w:rsidP="000317DE"/>
    <w:p w14:paraId="5F8A6D11" w14:textId="7EB4362E" w:rsidR="0034547C" w:rsidRDefault="0034547C" w:rsidP="000317DE">
      <w:r w:rsidRPr="004F7E99">
        <w:t xml:space="preserve">Fortroligheden </w:t>
      </w:r>
      <w:r>
        <w:t>er også gældende</w:t>
      </w:r>
      <w:r w:rsidRPr="004F7E99">
        <w:t xml:space="preserve"> efter </w:t>
      </w:r>
      <w:r w:rsidR="00CC64CD">
        <w:t>Aftale</w:t>
      </w:r>
      <w:r w:rsidRPr="004F7E99">
        <w:t>ns ophør uanset årsagen hertil.</w:t>
      </w:r>
    </w:p>
    <w:p w14:paraId="5C871FD5" w14:textId="77777777" w:rsidR="0034547C" w:rsidRPr="00172F91" w:rsidRDefault="0034547C" w:rsidP="000317DE">
      <w:r w:rsidRPr="00172F91">
        <w:t xml:space="preserve">Leverandøren kan </w:t>
      </w:r>
      <w:r>
        <w:t>medtage</w:t>
      </w:r>
      <w:r w:rsidRPr="00172F91">
        <w:t xml:space="preserve"> </w:t>
      </w:r>
      <w:r>
        <w:t>Banedanmark</w:t>
      </w:r>
      <w:r w:rsidRPr="00172F91">
        <w:t xml:space="preserve"> på en referenceliste</w:t>
      </w:r>
      <w:r>
        <w:t>, men må derudover ikke uden særskilt aftale med Banedanmark anvende Banedanmarks navn i markedsføringsøjemed</w:t>
      </w:r>
      <w:r w:rsidRPr="00172F91">
        <w:t xml:space="preserve">. </w:t>
      </w:r>
    </w:p>
    <w:p w14:paraId="46DD157B" w14:textId="77777777" w:rsidR="0034547C" w:rsidRDefault="0034547C" w:rsidP="000317DE"/>
    <w:p w14:paraId="2A8DE720" w14:textId="09A09063" w:rsidR="0034547C" w:rsidRDefault="0034547C" w:rsidP="000317DE">
      <w:pPr>
        <w:pStyle w:val="Overskrift1"/>
      </w:pPr>
      <w:bookmarkStart w:id="81" w:name="_Toc78806258"/>
      <w:bookmarkStart w:id="82" w:name="_Toc80977983"/>
      <w:bookmarkStart w:id="83" w:name="_Toc113979246"/>
      <w:bookmarkStart w:id="84" w:name="_Toc113984546"/>
      <w:bookmarkStart w:id="85" w:name="_Toc149726715"/>
      <w:r>
        <w:t>Lovgivning, myndighedskrav og CSR-forpligtelser</w:t>
      </w:r>
      <w:bookmarkEnd w:id="81"/>
      <w:bookmarkEnd w:id="82"/>
      <w:bookmarkEnd w:id="83"/>
      <w:bookmarkEnd w:id="84"/>
      <w:bookmarkEnd w:id="85"/>
      <w:r>
        <w:tab/>
      </w:r>
    </w:p>
    <w:p w14:paraId="26C9F34A" w14:textId="364AC095" w:rsidR="0034547C" w:rsidRDefault="0034547C" w:rsidP="000317DE">
      <w:r w:rsidRPr="00C679C9">
        <w:t xml:space="preserve">Leverandøren er forpligtet til at sikre, at </w:t>
      </w:r>
      <w:r w:rsidR="00CC64CD">
        <w:t>Aftale</w:t>
      </w:r>
      <w:r w:rsidRPr="00C679C9">
        <w:t xml:space="preserve">ns gennemførelse til enhver tid ikke indebærer en overtrædelse af sanktioner, eksportkontrolregler, embargoer og lignende. </w:t>
      </w:r>
      <w:r w:rsidRPr="005949B1">
        <w:t>Leverandøren er i hele kontraktperioden forpligtet til straks at give Banedanmark skriftlig meddelelse, såfremt der sker ændringer i Leverandørens eller eventuelle underleverandørers ejerforhold, kontrollen med Leverandøren/underleverandøren eller ethvert andet forhold, såfremt ændringerne har relevans for overholdelsen af sanktioner, eksportkontrolregler, embargoer og lignende.</w:t>
      </w:r>
    </w:p>
    <w:p w14:paraId="2C87310E" w14:textId="77777777" w:rsidR="0034547C" w:rsidRDefault="0034547C" w:rsidP="000317DE"/>
    <w:p w14:paraId="5971B163" w14:textId="3D075812" w:rsidR="0034547C" w:rsidRDefault="0034547C" w:rsidP="000317DE">
      <w:bookmarkStart w:id="86" w:name="_Hlk19609920"/>
      <w:r>
        <w:t xml:space="preserve">Leverandøren </w:t>
      </w:r>
      <w:r w:rsidRPr="004F7E99">
        <w:t>er forpligtet til at sikre</w:t>
      </w:r>
      <w:r>
        <w:t xml:space="preserve">, at den til enhver tid gældende lovgivning vedrørende arbejdstagere, herunder om opholdstilladelse, ansættelsesbeviser og skat, overholdes for alle ansatte involveret i Leverancerne i henhold til </w:t>
      </w:r>
      <w:r w:rsidR="00CC64CD">
        <w:t>Aftale</w:t>
      </w:r>
      <w:r>
        <w:t xml:space="preserve">n. </w:t>
      </w:r>
    </w:p>
    <w:bookmarkEnd w:id="86"/>
    <w:p w14:paraId="79AF11DB" w14:textId="77777777" w:rsidR="0034547C" w:rsidRDefault="0034547C" w:rsidP="000317DE"/>
    <w:p w14:paraId="4C4CF82B" w14:textId="76A92126" w:rsidR="0034547C" w:rsidRDefault="0034547C" w:rsidP="000317DE">
      <w:r w:rsidRPr="004F7E99">
        <w:t xml:space="preserve">Leverandøren er forpligtet til at sikre, at de i </w:t>
      </w:r>
      <w:r>
        <w:t>b</w:t>
      </w:r>
      <w:r w:rsidRPr="004F7E99">
        <w:t xml:space="preserve">ilag </w:t>
      </w:r>
      <w:r w:rsidR="003D61D7">
        <w:t>2</w:t>
      </w:r>
      <w:r w:rsidRPr="00172F91">
        <w:t xml:space="preserve"> </w:t>
      </w:r>
      <w:r>
        <w:t>(</w:t>
      </w:r>
      <w:r w:rsidRPr="00172F91">
        <w:t>CSR</w:t>
      </w:r>
      <w:r>
        <w:t>)</w:t>
      </w:r>
      <w:r w:rsidRPr="004F7E99">
        <w:t xml:space="preserve"> anførte krav overholdes ved opfyldelsen af </w:t>
      </w:r>
      <w:r w:rsidR="00CC64CD">
        <w:t>Aftale</w:t>
      </w:r>
      <w:r w:rsidRPr="004F7E99">
        <w:t>n.</w:t>
      </w:r>
    </w:p>
    <w:p w14:paraId="3FD95BF8" w14:textId="77777777" w:rsidR="0034547C" w:rsidRDefault="0034547C" w:rsidP="000317DE"/>
    <w:p w14:paraId="10AA047A" w14:textId="02B03DFA" w:rsidR="0034547C" w:rsidRDefault="0034547C" w:rsidP="000317DE">
      <w:pPr>
        <w:pStyle w:val="Overskrift1"/>
      </w:pPr>
      <w:bookmarkStart w:id="87" w:name="_Toc80977984"/>
      <w:bookmarkStart w:id="88" w:name="_Toc113979247"/>
      <w:bookmarkStart w:id="89" w:name="_Toc113984547"/>
      <w:bookmarkStart w:id="90" w:name="_Toc149726716"/>
      <w:r>
        <w:t>For</w:t>
      </w:r>
      <w:r w:rsidRPr="004F7E99">
        <w:t>sikring</w:t>
      </w:r>
      <w:r>
        <w:t>sforhold</w:t>
      </w:r>
      <w:bookmarkStart w:id="91" w:name="_Toc78806259"/>
      <w:bookmarkEnd w:id="87"/>
      <w:bookmarkEnd w:id="88"/>
      <w:bookmarkEnd w:id="89"/>
      <w:bookmarkEnd w:id="90"/>
      <w:r w:rsidRPr="004F7E99">
        <w:t xml:space="preserve"> </w:t>
      </w:r>
      <w:bookmarkEnd w:id="91"/>
    </w:p>
    <w:p w14:paraId="657A6574" w14:textId="323C3286" w:rsidR="0034547C" w:rsidRPr="00172F91" w:rsidRDefault="0034547C" w:rsidP="000317DE">
      <w:r w:rsidRPr="00172F91">
        <w:t xml:space="preserve">Leverandøren skal i hele </w:t>
      </w:r>
      <w:r w:rsidR="00CC64CD">
        <w:t>Aftale</w:t>
      </w:r>
      <w:r w:rsidRPr="00172F91">
        <w:t>ns løbetid opretholde en erhvervs- og produktansvarsforsikring.</w:t>
      </w:r>
      <w:r w:rsidRPr="008C23E1">
        <w:t xml:space="preserve"> </w:t>
      </w:r>
      <w:r w:rsidRPr="00172F91">
        <w:t xml:space="preserve"> </w:t>
      </w:r>
    </w:p>
    <w:p w14:paraId="239308A1" w14:textId="77777777" w:rsidR="0034547C" w:rsidRDefault="0034547C" w:rsidP="000317DE"/>
    <w:p w14:paraId="5ABEDB22" w14:textId="77777777" w:rsidR="0034547C" w:rsidRPr="00172F91" w:rsidRDefault="0034547C" w:rsidP="000317DE">
      <w:r w:rsidRPr="00172F91">
        <w:t xml:space="preserve">Leverandøren skal desuden have tegnet enhver anden lovpligtig forsikring, herunder arbejdsskadeforsikring for medarbejderne.  </w:t>
      </w:r>
    </w:p>
    <w:p w14:paraId="66E98E9A" w14:textId="77777777" w:rsidR="0034547C" w:rsidRDefault="0034547C" w:rsidP="000317DE"/>
    <w:p w14:paraId="29108F53" w14:textId="06DDF76B" w:rsidR="0034547C" w:rsidRPr="00FF03E2" w:rsidRDefault="0034547C" w:rsidP="000317DE">
      <w:r w:rsidRPr="00FF03E2">
        <w:t xml:space="preserve">Dækningsomfanget for </w:t>
      </w:r>
      <w:r>
        <w:t>L</w:t>
      </w:r>
      <w:r w:rsidRPr="00FF03E2">
        <w:t xml:space="preserve">everandørens forsikringer skal stå i rimeligt forhold til </w:t>
      </w:r>
      <w:r w:rsidR="00CC64CD">
        <w:t>Aftale</w:t>
      </w:r>
      <w:r w:rsidRPr="00FF03E2">
        <w:t xml:space="preserve">ns omfang og svare til det sædvanlige i branchen.  </w:t>
      </w:r>
    </w:p>
    <w:p w14:paraId="7B5733C6" w14:textId="77777777" w:rsidR="0034547C" w:rsidRDefault="0034547C" w:rsidP="000317DE"/>
    <w:p w14:paraId="5B6A1DDA" w14:textId="77777777" w:rsidR="0034547C" w:rsidRPr="00164314" w:rsidRDefault="0034547C" w:rsidP="000317DE">
      <w:r w:rsidRPr="00164314">
        <w:t xml:space="preserve">Såfremt Leverandøren lader dele af arbejdet udføre af underleverandører, er Leverandøren forpligtet til at sørge for, at underleverandørerne på samme måde opfylder kravene til forsikringsdækning. </w:t>
      </w:r>
    </w:p>
    <w:p w14:paraId="110815D4" w14:textId="77777777" w:rsidR="0034547C" w:rsidRDefault="0034547C" w:rsidP="000317DE"/>
    <w:p w14:paraId="7E3A337D" w14:textId="77777777" w:rsidR="0034547C" w:rsidRPr="00267AF6" w:rsidRDefault="0034547C" w:rsidP="000317DE">
      <w:r>
        <w:t>Banedanmark</w:t>
      </w:r>
      <w:r w:rsidRPr="00267AF6">
        <w:t xml:space="preserve"> kan til enhver tid anmode om dokumentation for forsikringe</w:t>
      </w:r>
      <w:r>
        <w:t>r</w:t>
      </w:r>
      <w:r w:rsidRPr="00267AF6">
        <w:t>n</w:t>
      </w:r>
      <w:r>
        <w:t>e</w:t>
      </w:r>
      <w:r w:rsidRPr="00267AF6">
        <w:t xml:space="preserve">s opretholdelse. </w:t>
      </w:r>
    </w:p>
    <w:p w14:paraId="19D63B92" w14:textId="77777777" w:rsidR="0034547C" w:rsidRDefault="0034547C" w:rsidP="000317DE"/>
    <w:p w14:paraId="4AB81EF0" w14:textId="4B9D16EC" w:rsidR="0034547C" w:rsidRDefault="0034547C" w:rsidP="000317DE">
      <w:pPr>
        <w:pStyle w:val="Overskrift1"/>
      </w:pPr>
      <w:bookmarkStart w:id="92" w:name="_Toc78806260"/>
      <w:bookmarkStart w:id="93" w:name="_Toc80977985"/>
      <w:bookmarkStart w:id="94" w:name="_Toc113979248"/>
      <w:bookmarkStart w:id="95" w:name="_Toc113984548"/>
      <w:bookmarkStart w:id="96" w:name="_Toc149726717"/>
      <w:r>
        <w:t>Garanti</w:t>
      </w:r>
      <w:bookmarkEnd w:id="92"/>
      <w:bookmarkEnd w:id="93"/>
      <w:bookmarkEnd w:id="94"/>
      <w:bookmarkEnd w:id="95"/>
      <w:bookmarkEnd w:id="96"/>
      <w:r>
        <w:tab/>
      </w:r>
    </w:p>
    <w:p w14:paraId="27B9BF8C" w14:textId="58E4C87D" w:rsidR="002041C7" w:rsidRPr="00117139" w:rsidRDefault="002041C7" w:rsidP="002041C7">
      <w:pPr>
        <w:spacing w:after="200" w:line="276" w:lineRule="auto"/>
      </w:pPr>
      <w:r w:rsidRPr="00117139">
        <w:t>Leverandøren garanterer, at Leverancer i henhold til nærværende aftale i enhver henseende opfylder alle krav i aftalen.</w:t>
      </w:r>
    </w:p>
    <w:p w14:paraId="1BF62259" w14:textId="77777777" w:rsidR="002041C7" w:rsidRPr="00117139" w:rsidRDefault="002041C7" w:rsidP="002041C7">
      <w:pPr>
        <w:spacing w:after="200" w:line="276" w:lineRule="auto"/>
      </w:pPr>
      <w:r w:rsidRPr="00117139">
        <w:t>Leverandørens garanti for leverancer er gældende i 3 år fra den pågældende Leverance er lagt i sporet, dog begrænset til 4 år efter levering har fundet sted.</w:t>
      </w:r>
    </w:p>
    <w:p w14:paraId="4C90648E" w14:textId="5CD1CE02" w:rsidR="002041C7" w:rsidRPr="00117139" w:rsidRDefault="002041C7" w:rsidP="002041C7">
      <w:pPr>
        <w:spacing w:after="200" w:line="276" w:lineRule="auto"/>
      </w:pPr>
      <w:r w:rsidRPr="00117139">
        <w:t xml:space="preserve">Garantien indebærer, at Leverandøren indestår for, at Leverancer i hele den ovennævnte garantiperiode er i aftalemæssig stand, herunder, men ikke begrænset til, at ydeevne, funktion og anvendelighed er i overensstemmelse med forudsætningerne i aftalen eller hvad der i tillæg hertil måtte være aftalt, samt en pligt for Leverandøren til, for dennes egen regning og risiko, i hele garantiperioden at udbedre Leverancer, som er mangelfulde. </w:t>
      </w:r>
    </w:p>
    <w:p w14:paraId="5A6E8C94" w14:textId="77777777" w:rsidR="002041C7" w:rsidRPr="00117139" w:rsidRDefault="002041C7" w:rsidP="002041C7">
      <w:pPr>
        <w:spacing w:after="200" w:line="276" w:lineRule="auto"/>
      </w:pPr>
      <w:r w:rsidRPr="00117139">
        <w:t xml:space="preserve">Garantien omfatter yderligere undersøgelsespligt ved Banedanmarks </w:t>
      </w:r>
      <w:bookmarkStart w:id="97" w:name="_Hlk126536240"/>
      <w:r w:rsidRPr="00117139">
        <w:t xml:space="preserve">reklamation eller </w:t>
      </w:r>
      <w:bookmarkEnd w:id="97"/>
      <w:r w:rsidRPr="00117139">
        <w:t xml:space="preserve">påkaldelse af reklamation, uden at dette medfører omkostninger for Banedanmark. </w:t>
      </w:r>
    </w:p>
    <w:p w14:paraId="5E13E04E" w14:textId="77777777" w:rsidR="002041C7" w:rsidRPr="00117139" w:rsidRDefault="002041C7" w:rsidP="002041C7">
      <w:pPr>
        <w:spacing w:after="200" w:line="276" w:lineRule="auto"/>
      </w:pPr>
      <w:r w:rsidRPr="00117139">
        <w:t>Hvis der sker udskiftning af mangelbehæftede dele, er de nye dele undergivet en ny tilsvarende garantiperiode regnet fra tidspunktet, hvor udskiftningen er gennemført.</w:t>
      </w:r>
    </w:p>
    <w:p w14:paraId="1637CDF8" w14:textId="77777777" w:rsidR="0034547C" w:rsidRPr="00172F91" w:rsidRDefault="0034547C" w:rsidP="000317DE"/>
    <w:p w14:paraId="3870E499" w14:textId="4A484C5C" w:rsidR="0034547C" w:rsidRDefault="0034547C" w:rsidP="000317DE">
      <w:pPr>
        <w:pStyle w:val="Overskrift1"/>
      </w:pPr>
      <w:bookmarkStart w:id="98" w:name="_Toc78806261"/>
      <w:bookmarkStart w:id="99" w:name="_Toc80977986"/>
      <w:bookmarkStart w:id="100" w:name="_Toc113979249"/>
      <w:bookmarkStart w:id="101" w:name="_Toc113984549"/>
      <w:bookmarkStart w:id="102" w:name="_Toc149726718"/>
      <w:r>
        <w:t>Misligholdelse</w:t>
      </w:r>
      <w:bookmarkEnd w:id="98"/>
      <w:bookmarkEnd w:id="99"/>
      <w:bookmarkEnd w:id="100"/>
      <w:bookmarkEnd w:id="101"/>
      <w:bookmarkEnd w:id="102"/>
      <w:r>
        <w:t xml:space="preserve"> </w:t>
      </w:r>
    </w:p>
    <w:p w14:paraId="5DFE81F2" w14:textId="77777777" w:rsidR="0034547C" w:rsidRDefault="0034547C" w:rsidP="000317DE"/>
    <w:p w14:paraId="07CBFBE1" w14:textId="753BDEBF" w:rsidR="0034547C" w:rsidRDefault="0034547C" w:rsidP="000317DE">
      <w:pPr>
        <w:pStyle w:val="Overskrift2"/>
      </w:pPr>
      <w:bookmarkStart w:id="103" w:name="_Toc78806262"/>
      <w:bookmarkStart w:id="104" w:name="_Toc80977987"/>
      <w:bookmarkStart w:id="105" w:name="_Toc113979250"/>
      <w:bookmarkStart w:id="106" w:name="_Toc113984550"/>
      <w:bookmarkStart w:id="107" w:name="_Ref127975512"/>
      <w:r>
        <w:t>Generelt</w:t>
      </w:r>
      <w:bookmarkEnd w:id="103"/>
      <w:bookmarkEnd w:id="104"/>
      <w:bookmarkEnd w:id="105"/>
      <w:bookmarkEnd w:id="106"/>
      <w:bookmarkEnd w:id="107"/>
    </w:p>
    <w:p w14:paraId="378AADD9" w14:textId="50EBF6DF" w:rsidR="0034547C" w:rsidRPr="00347460" w:rsidRDefault="0034547C" w:rsidP="000317DE">
      <w:r w:rsidRPr="00347460">
        <w:t>Hvor ikke andet følger af best</w:t>
      </w:r>
      <w:r>
        <w:t xml:space="preserve">emmelserne i </w:t>
      </w:r>
      <w:r w:rsidR="00CC64CD">
        <w:t>Aftale</w:t>
      </w:r>
      <w:r>
        <w:t>n</w:t>
      </w:r>
      <w:r w:rsidRPr="00347460">
        <w:t xml:space="preserve">, gælder dansk rets almindelige regler om beføjelser i anledning af en Parts misligholdelse, herunder reglerne om forholdsmæssigt afslag. </w:t>
      </w:r>
    </w:p>
    <w:p w14:paraId="5E3C1FC4" w14:textId="77777777" w:rsidR="0034547C" w:rsidRDefault="0034547C" w:rsidP="000317DE"/>
    <w:p w14:paraId="439B9C69" w14:textId="77777777" w:rsidR="0034547C" w:rsidRPr="00172F91" w:rsidRDefault="0034547C" w:rsidP="000317DE">
      <w:r w:rsidRPr="75CC5486">
        <w:lastRenderedPageBreak/>
        <w:t>Hver Part er forpligtet til straks ved enhver opstået misligholdelse, eller når misligholdelse må påregnes at opstå, skriftligt at meddele den anden Part dette samt årsag hertil, og hvornår misligholdelsen forventes afhjulpet. Hver Part er forpligtet til straks at foretage effektive skridt til at afhjælpe misligholdelsen.</w:t>
      </w:r>
    </w:p>
    <w:p w14:paraId="43CC4BCD" w14:textId="77777777" w:rsidR="0034547C" w:rsidRDefault="0034547C" w:rsidP="000317DE"/>
    <w:p w14:paraId="0F84C148" w14:textId="38CF217F" w:rsidR="0034547C" w:rsidRDefault="0034547C" w:rsidP="000317DE">
      <w:pPr>
        <w:pStyle w:val="Overskrift2"/>
      </w:pPr>
      <w:bookmarkStart w:id="108" w:name="_Toc78806263"/>
      <w:bookmarkStart w:id="109" w:name="_Toc80977988"/>
      <w:bookmarkStart w:id="110" w:name="_Toc113979251"/>
      <w:bookmarkStart w:id="111" w:name="_Toc113984551"/>
      <w:r>
        <w:t>Forsinkelse</w:t>
      </w:r>
      <w:bookmarkEnd w:id="108"/>
      <w:bookmarkEnd w:id="109"/>
      <w:bookmarkEnd w:id="110"/>
      <w:bookmarkEnd w:id="111"/>
    </w:p>
    <w:p w14:paraId="72F79768" w14:textId="3F638595" w:rsidR="0034547C" w:rsidRPr="00347460" w:rsidRDefault="0034547C" w:rsidP="000317DE">
      <w:r w:rsidRPr="00347460">
        <w:t>Der foreligger forsinkelse, såfremt Leverandøren overskrider</w:t>
      </w:r>
      <w:r>
        <w:t xml:space="preserve"> en</w:t>
      </w:r>
      <w:r w:rsidRPr="00347460">
        <w:t xml:space="preserve"> frist for levering</w:t>
      </w:r>
      <w:r>
        <w:t xml:space="preserve"> af en Leverance</w:t>
      </w:r>
      <w:r w:rsidRPr="00347460">
        <w:t>, jf.</w:t>
      </w:r>
      <w:r>
        <w:t xml:space="preserve"> </w:t>
      </w:r>
      <w:r w:rsidR="001979DF">
        <w:fldChar w:fldCharType="begin"/>
      </w:r>
      <w:r w:rsidR="001979DF">
        <w:instrText xml:space="preserve"> REF _Ref127975453 \r </w:instrText>
      </w:r>
      <w:r w:rsidR="001979DF">
        <w:fldChar w:fldCharType="separate"/>
      </w:r>
      <w:r w:rsidR="003216FB">
        <w:t>§ 7</w:t>
      </w:r>
      <w:r w:rsidR="001979DF">
        <w:fldChar w:fldCharType="end"/>
      </w:r>
      <w:r w:rsidRPr="00347460">
        <w:t xml:space="preserve">, </w:t>
      </w:r>
      <w:bookmarkStart w:id="112" w:name="_Hlk23426233"/>
      <w:r w:rsidRPr="00347460">
        <w:t>og dette ikke skyldes Banedanmarks forhold eller force majeure</w:t>
      </w:r>
      <w:bookmarkEnd w:id="112"/>
      <w:r>
        <w:t xml:space="preserve">, jf. </w:t>
      </w:r>
      <w:r w:rsidR="001979DF">
        <w:fldChar w:fldCharType="begin"/>
      </w:r>
      <w:r w:rsidR="001979DF">
        <w:instrText xml:space="preserve"> REF _Ref127975477 \r </w:instrText>
      </w:r>
      <w:r w:rsidR="001979DF">
        <w:fldChar w:fldCharType="separate"/>
      </w:r>
      <w:r w:rsidR="003216FB">
        <w:t>§ 21</w:t>
      </w:r>
      <w:r w:rsidR="001979DF">
        <w:fldChar w:fldCharType="end"/>
      </w:r>
      <w:r w:rsidRPr="00347460">
        <w:t xml:space="preserve">. </w:t>
      </w:r>
    </w:p>
    <w:p w14:paraId="1F787016" w14:textId="77777777" w:rsidR="0034547C" w:rsidRPr="00347460" w:rsidRDefault="0034547C" w:rsidP="000317DE"/>
    <w:p w14:paraId="6A70C6D8" w14:textId="3A11BB94" w:rsidR="0034547C" w:rsidRDefault="0034547C" w:rsidP="000317DE">
      <w:r w:rsidRPr="00347460">
        <w:t>Såfremt Leverandøren må forudse, at der er risiko for forsinkelse, skal Leverandøren straks underrette Banedanmark herom</w:t>
      </w:r>
      <w:r>
        <w:t xml:space="preserve"> og </w:t>
      </w:r>
      <w:r w:rsidRPr="00347460">
        <w:t>foretage effektive skridt til a</w:t>
      </w:r>
      <w:r>
        <w:t xml:space="preserve">t overvinde forsinkelsen, som nærmere anført i </w:t>
      </w:r>
      <w:r w:rsidR="001979DF">
        <w:fldChar w:fldCharType="begin"/>
      </w:r>
      <w:r w:rsidR="001979DF">
        <w:instrText xml:space="preserve"> REF _Ref127975512 \r </w:instrText>
      </w:r>
      <w:r w:rsidR="001979DF">
        <w:fldChar w:fldCharType="separate"/>
      </w:r>
      <w:r w:rsidR="00BA3B13">
        <w:t>§ 18.1</w:t>
      </w:r>
      <w:r w:rsidR="001979DF">
        <w:fldChar w:fldCharType="end"/>
      </w:r>
      <w:r>
        <w:t>.</w:t>
      </w:r>
      <w:r w:rsidDel="00FB7FD6">
        <w:t xml:space="preserve"> </w:t>
      </w:r>
    </w:p>
    <w:p w14:paraId="038937EC" w14:textId="77777777" w:rsidR="0034547C" w:rsidRDefault="0034547C" w:rsidP="000317DE"/>
    <w:p w14:paraId="4232F7FB" w14:textId="028BF7E8" w:rsidR="0034547C" w:rsidRDefault="0034547C" w:rsidP="000317DE">
      <w:pPr>
        <w:pStyle w:val="Overskrift2"/>
      </w:pPr>
      <w:bookmarkStart w:id="113" w:name="_Toc78806264"/>
      <w:bookmarkStart w:id="114" w:name="_Toc80977989"/>
      <w:bookmarkStart w:id="115" w:name="_Toc113979252"/>
      <w:bookmarkStart w:id="116" w:name="_Toc113984552"/>
      <w:bookmarkStart w:id="117" w:name="_Ref127975532"/>
      <w:r>
        <w:t>Bod</w:t>
      </w:r>
      <w:bookmarkEnd w:id="113"/>
      <w:bookmarkEnd w:id="114"/>
      <w:bookmarkEnd w:id="115"/>
      <w:bookmarkEnd w:id="116"/>
      <w:bookmarkEnd w:id="117"/>
    </w:p>
    <w:p w14:paraId="20BC11E9" w14:textId="6704161B" w:rsidR="0034547C" w:rsidRPr="00905B9F" w:rsidRDefault="0034547C" w:rsidP="000317DE">
      <w:r w:rsidRPr="00905B9F">
        <w:t>I tilfælde af forsinkelse</w:t>
      </w:r>
      <w:r w:rsidR="007349CF">
        <w:t xml:space="preserve"> af sporskæringen</w:t>
      </w:r>
      <w:r w:rsidRPr="00905B9F">
        <w:t xml:space="preserve"> er Banedanmark berettiget til at opkræve bod.  </w:t>
      </w:r>
    </w:p>
    <w:p w14:paraId="6A07DB27" w14:textId="77777777" w:rsidR="0034547C" w:rsidRPr="00905B9F" w:rsidRDefault="0034547C" w:rsidP="000317DE"/>
    <w:p w14:paraId="4A6F5A42" w14:textId="3268B689" w:rsidR="0034547C" w:rsidRPr="00905B9F" w:rsidRDefault="0034547C" w:rsidP="000317DE">
      <w:r w:rsidRPr="00905B9F">
        <w:t xml:space="preserve">Boden udgør </w:t>
      </w:r>
      <w:r w:rsidR="00FB1271" w:rsidRPr="00905B9F">
        <w:t>2</w:t>
      </w:r>
      <w:r w:rsidR="002B315A">
        <w:t>,5</w:t>
      </w:r>
      <w:r w:rsidRPr="00905B9F">
        <w:t xml:space="preserve">% af </w:t>
      </w:r>
      <w:r w:rsidR="007349CF">
        <w:t>kontraktsummen</w:t>
      </w:r>
      <w:r w:rsidRPr="00905B9F">
        <w:t xml:space="preserve"> </w:t>
      </w:r>
      <w:r w:rsidR="00FB1271" w:rsidRPr="00905B9F">
        <w:t>p</w:t>
      </w:r>
      <w:r w:rsidRPr="00905B9F">
        <w:t xml:space="preserve">r. påbegyndt </w:t>
      </w:r>
      <w:r w:rsidR="007349CF">
        <w:t>uge</w:t>
      </w:r>
      <w:r w:rsidRPr="00905B9F">
        <w:t xml:space="preserve"> forsinkelsen varer. </w:t>
      </w:r>
    </w:p>
    <w:p w14:paraId="2CE66FD1" w14:textId="77777777" w:rsidR="0034547C" w:rsidRPr="00905B9F" w:rsidRDefault="0034547C" w:rsidP="000317DE"/>
    <w:p w14:paraId="1F5C769A" w14:textId="77777777" w:rsidR="0034547C" w:rsidRPr="00905B9F" w:rsidRDefault="0034547C" w:rsidP="000317DE">
      <w:r w:rsidRPr="00905B9F">
        <w:t>Påløbet bod skal betales ugevis bagud efter forsinkelsens opståen efter skriftligt påkrav fra Banedanmark og kan modregnes i Leverandørens krav på betalinger fra Banedanmark.</w:t>
      </w:r>
    </w:p>
    <w:p w14:paraId="393EA4F9" w14:textId="77777777" w:rsidR="0034547C" w:rsidRPr="00905B9F" w:rsidRDefault="0034547C" w:rsidP="000317DE"/>
    <w:p w14:paraId="334BB2AF" w14:textId="1E0FC4B1" w:rsidR="0034547C" w:rsidRPr="00172F91" w:rsidRDefault="0034547C" w:rsidP="000317DE">
      <w:r w:rsidRPr="00905B9F">
        <w:t>Den samlede bod pr. forsinket Leverance kan ikke overstige</w:t>
      </w:r>
      <w:r w:rsidR="00865737">
        <w:t xml:space="preserve"> 15% af kontraktsummen</w:t>
      </w:r>
      <w:r w:rsidR="00AF72E5">
        <w:t>.</w:t>
      </w:r>
    </w:p>
    <w:p w14:paraId="084B77B8" w14:textId="77777777" w:rsidR="0034547C" w:rsidRDefault="0034547C" w:rsidP="000317DE"/>
    <w:p w14:paraId="523C8810" w14:textId="07B01E2A" w:rsidR="0034547C" w:rsidRDefault="0034547C" w:rsidP="000317DE">
      <w:pPr>
        <w:pStyle w:val="Overskrift2"/>
      </w:pPr>
      <w:bookmarkStart w:id="118" w:name="_Toc78806265"/>
      <w:bookmarkStart w:id="119" w:name="_Toc80977990"/>
      <w:bookmarkStart w:id="120" w:name="_Toc113979253"/>
      <w:bookmarkStart w:id="121" w:name="_Toc113984553"/>
      <w:r>
        <w:t>Mangler</w:t>
      </w:r>
      <w:bookmarkEnd w:id="118"/>
      <w:bookmarkEnd w:id="119"/>
      <w:bookmarkEnd w:id="120"/>
      <w:bookmarkEnd w:id="121"/>
    </w:p>
    <w:p w14:paraId="773CACD2" w14:textId="23187E4C" w:rsidR="0034547C" w:rsidRPr="00347460" w:rsidRDefault="0034547C" w:rsidP="000317DE">
      <w:r w:rsidRPr="00347460">
        <w:t xml:space="preserve">Der foreligger en mangel, såfremt Leverandøren eller Leverandørens </w:t>
      </w:r>
      <w:r>
        <w:t>L</w:t>
      </w:r>
      <w:r w:rsidRPr="00347460">
        <w:t xml:space="preserve">everancer ikke opfylder de i </w:t>
      </w:r>
      <w:r w:rsidR="00CC64CD">
        <w:t>Aftale</w:t>
      </w:r>
      <w:r w:rsidRPr="00347460">
        <w:t>n fastsatte krav, de af Leverandøren afgivne garantier, eller såfremt de leverede varer i øvrigt ikke svarer til, hvad Banedanmark med rimelighed kunne forvente.</w:t>
      </w:r>
    </w:p>
    <w:p w14:paraId="6DBEDA6A" w14:textId="77777777" w:rsidR="0034547C" w:rsidRDefault="0034547C" w:rsidP="000317DE"/>
    <w:p w14:paraId="4DCE0486" w14:textId="77777777" w:rsidR="0034547C" w:rsidRPr="00347460" w:rsidRDefault="0034547C" w:rsidP="000317DE">
      <w:r w:rsidRPr="00347460">
        <w:t>Banedanmark skal underrette Leverandøren om eventuelle mangler inden for rimelig tid efter</w:t>
      </w:r>
      <w:r>
        <w:t>,</w:t>
      </w:r>
      <w:r w:rsidRPr="00347460">
        <w:t xml:space="preserve"> at Banedanmark har opdaget manglen. </w:t>
      </w:r>
    </w:p>
    <w:p w14:paraId="739077CC" w14:textId="77777777" w:rsidR="0034547C" w:rsidRDefault="0034547C" w:rsidP="000317DE"/>
    <w:p w14:paraId="0850B543" w14:textId="0FA4A1EC" w:rsidR="0034547C" w:rsidRDefault="0034547C" w:rsidP="000317DE">
      <w:pPr>
        <w:pStyle w:val="Overskrift2"/>
      </w:pPr>
      <w:bookmarkStart w:id="122" w:name="_Toc78806266"/>
      <w:bookmarkStart w:id="123" w:name="_Toc80977991"/>
      <w:bookmarkStart w:id="124" w:name="_Toc113979254"/>
      <w:bookmarkStart w:id="125" w:name="_Toc113984554"/>
      <w:r>
        <w:t>Leverandørens afhjælpningspligt</w:t>
      </w:r>
      <w:bookmarkEnd w:id="122"/>
      <w:bookmarkEnd w:id="123"/>
      <w:bookmarkEnd w:id="124"/>
      <w:bookmarkEnd w:id="125"/>
    </w:p>
    <w:p w14:paraId="1B469166" w14:textId="77777777" w:rsidR="0034547C" w:rsidRDefault="0034547C" w:rsidP="000317DE">
      <w:r w:rsidRPr="00347460">
        <w:t>I tilfælde af mangler skal Leverandøren uden ugrundet ophold iværksætte afhjælpning af mangler</w:t>
      </w:r>
      <w:r>
        <w:t>ne</w:t>
      </w:r>
      <w:r w:rsidRPr="00347460">
        <w:t xml:space="preserve">. </w:t>
      </w:r>
    </w:p>
    <w:p w14:paraId="7D44C985" w14:textId="77777777" w:rsidR="0034547C" w:rsidRDefault="0034547C" w:rsidP="000317DE"/>
    <w:p w14:paraId="52F400DB" w14:textId="77777777" w:rsidR="0034547C" w:rsidRPr="00347460" w:rsidRDefault="0034547C" w:rsidP="000317DE">
      <w:r w:rsidRPr="00347460">
        <w:t>Hvis manglerne ikke kan afhjælpes uden at påføre Banedanmark unødig forsinkelse eller omkostninger, skal Leverandøren foretage omlevering af de pågældende varer.</w:t>
      </w:r>
    </w:p>
    <w:p w14:paraId="75D1B00A" w14:textId="77777777" w:rsidR="0034547C" w:rsidRDefault="0034547C" w:rsidP="000317DE"/>
    <w:p w14:paraId="586EBEA2" w14:textId="77777777" w:rsidR="0034547C" w:rsidRDefault="0034547C" w:rsidP="000317DE"/>
    <w:p w14:paraId="2B942EC9" w14:textId="5E3B5CE8" w:rsidR="0034547C" w:rsidRDefault="0034547C" w:rsidP="000317DE">
      <w:pPr>
        <w:pStyle w:val="Overskrift1"/>
      </w:pPr>
      <w:bookmarkStart w:id="126" w:name="_Toc78806268"/>
      <w:bookmarkStart w:id="127" w:name="_Toc80977993"/>
      <w:bookmarkStart w:id="128" w:name="_Toc113979256"/>
      <w:bookmarkStart w:id="129" w:name="_Toc113984556"/>
      <w:bookmarkStart w:id="130" w:name="_Toc149726719"/>
      <w:bookmarkStart w:id="131" w:name="_Ref127975579"/>
      <w:r>
        <w:t>Ophævelse</w:t>
      </w:r>
      <w:bookmarkEnd w:id="126"/>
      <w:bookmarkEnd w:id="127"/>
      <w:bookmarkEnd w:id="128"/>
      <w:bookmarkEnd w:id="129"/>
      <w:bookmarkEnd w:id="130"/>
      <w:r>
        <w:t xml:space="preserve">  </w:t>
      </w:r>
      <w:bookmarkEnd w:id="131"/>
    </w:p>
    <w:p w14:paraId="6ED39801" w14:textId="77777777" w:rsidR="0034547C" w:rsidRPr="00172F91" w:rsidRDefault="0034547C" w:rsidP="000317DE">
      <w:r w:rsidRPr="00172F91">
        <w:t xml:space="preserve">Såfremt Leverandøren væsentlig misligholder sine forpligtelser i forhold til en specifik </w:t>
      </w:r>
      <w:r>
        <w:t>L</w:t>
      </w:r>
      <w:r w:rsidRPr="00172F91">
        <w:t xml:space="preserve">everance/bestilling, er Banedanmark berettiget til at ophæve den specifikke </w:t>
      </w:r>
      <w:r>
        <w:t>L</w:t>
      </w:r>
      <w:r w:rsidRPr="00172F91">
        <w:t xml:space="preserve">everance/bestilling, som misligholdelsen vedrører. </w:t>
      </w:r>
    </w:p>
    <w:p w14:paraId="467B470A" w14:textId="77777777" w:rsidR="0034547C" w:rsidRPr="00172F91" w:rsidRDefault="0034547C" w:rsidP="000317DE"/>
    <w:p w14:paraId="6256D7EC" w14:textId="65A188F0" w:rsidR="0034547C" w:rsidRDefault="0034547C" w:rsidP="000317DE">
      <w:pPr>
        <w:rPr>
          <w:rFonts w:eastAsia="Calibri"/>
          <w:lang w:eastAsia="en-US"/>
        </w:rPr>
      </w:pPr>
      <w:r w:rsidRPr="00347460">
        <w:t xml:space="preserve">Følgende forhold, men ikke begrænset dertil, anses altid for </w:t>
      </w:r>
      <w:r>
        <w:t xml:space="preserve">at udgøre </w:t>
      </w:r>
      <w:r w:rsidRPr="00347460">
        <w:t>væsentlig misligholdelse</w:t>
      </w:r>
      <w:r>
        <w:t>, der berettiger Banedanmark til at ophæve den specifikke Leverance/bestilling, som misligholdelsen vedrører:</w:t>
      </w:r>
    </w:p>
    <w:p w14:paraId="38A666A8" w14:textId="4AC1D3AC" w:rsidR="0034547C" w:rsidRDefault="0034547C" w:rsidP="00E121BF">
      <w:pPr>
        <w:pStyle w:val="Listeafsnit"/>
        <w:numPr>
          <w:ilvl w:val="0"/>
          <w:numId w:val="11"/>
        </w:numPr>
      </w:pPr>
      <w:r>
        <w:t xml:space="preserve">Hvis den i </w:t>
      </w:r>
      <w:r w:rsidR="001979DF">
        <w:fldChar w:fldCharType="begin"/>
      </w:r>
      <w:r w:rsidR="001979DF">
        <w:instrText xml:space="preserve"> REF _Ref127975532 \r </w:instrText>
      </w:r>
      <w:r w:rsidR="001979DF">
        <w:fldChar w:fldCharType="separate"/>
      </w:r>
      <w:r w:rsidR="007C397A">
        <w:t>§ 18.3</w:t>
      </w:r>
      <w:r w:rsidR="001979DF">
        <w:fldChar w:fldCharType="end"/>
      </w:r>
      <w:r w:rsidR="007C397A">
        <w:t xml:space="preserve"> </w:t>
      </w:r>
      <w:r w:rsidRPr="0086768E">
        <w:t>maksimale bod</w:t>
      </w:r>
      <w:r>
        <w:t xml:space="preserve"> </w:t>
      </w:r>
      <w:r w:rsidRPr="0086768E">
        <w:t xml:space="preserve">er nået. </w:t>
      </w:r>
    </w:p>
    <w:p w14:paraId="7A10E422" w14:textId="77777777" w:rsidR="00E121BF" w:rsidRDefault="00E121BF" w:rsidP="00E121BF">
      <w:pPr>
        <w:pStyle w:val="Listeafsnit"/>
        <w:numPr>
          <w:ilvl w:val="0"/>
          <w:numId w:val="11"/>
        </w:numPr>
      </w:pPr>
      <w:r w:rsidRPr="00E121BF">
        <w:t xml:space="preserve">Hvis leverandøren misligholder sine forpligtelser i henhold til Kontrakten og Leverandøren ikke har afhjulpet manglerne inden for rimelig tid efter modtagelse af skriftligt påkrav herom. </w:t>
      </w:r>
    </w:p>
    <w:p w14:paraId="0B383C4A" w14:textId="3326FEFC" w:rsidR="0034547C" w:rsidRDefault="0034547C" w:rsidP="00E121BF">
      <w:pPr>
        <w:pStyle w:val="Listeafsnit"/>
        <w:numPr>
          <w:ilvl w:val="0"/>
          <w:numId w:val="11"/>
        </w:numPr>
      </w:pPr>
      <w:r w:rsidRPr="0086768E">
        <w:lastRenderedPageBreak/>
        <w:t xml:space="preserve">Hvis beskaffenheden af en mangel fratager Banedanmark muligheden for at anvende </w:t>
      </w:r>
      <w:r>
        <w:t>Leverancen</w:t>
      </w:r>
      <w:r w:rsidRPr="0086768E">
        <w:t xml:space="preserve"> som planlagt. </w:t>
      </w:r>
    </w:p>
    <w:p w14:paraId="076DA340" w14:textId="77777777" w:rsidR="0034547C" w:rsidRDefault="0034547C" w:rsidP="000317DE">
      <w:r w:rsidRPr="0086768E">
        <w:t xml:space="preserve"> </w:t>
      </w:r>
    </w:p>
    <w:p w14:paraId="141C82DA" w14:textId="77777777" w:rsidR="0034547C" w:rsidRPr="00172F91" w:rsidRDefault="0034547C" w:rsidP="000317DE">
      <w:r w:rsidRPr="00347460">
        <w:t xml:space="preserve">Ved ophævelsen skal Leverandøren straks tilbagebetale </w:t>
      </w:r>
      <w:r>
        <w:t>vederlaget</w:t>
      </w:r>
      <w:r w:rsidRPr="00347460">
        <w:t xml:space="preserve"> for de</w:t>
      </w:r>
      <w:r>
        <w:t>n</w:t>
      </w:r>
      <w:r w:rsidRPr="00347460">
        <w:t xml:space="preserve"> </w:t>
      </w:r>
      <w:r>
        <w:t>Leverance</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24D4AC4E" w14:textId="77777777" w:rsidR="0034547C" w:rsidRPr="00172F91" w:rsidRDefault="0034547C" w:rsidP="000317DE"/>
    <w:p w14:paraId="6B78AC15" w14:textId="712BC715" w:rsidR="0034547C" w:rsidRPr="00347460" w:rsidRDefault="0034547C" w:rsidP="000317DE">
      <w:r w:rsidRPr="00172F91">
        <w:t xml:space="preserve">Såfremt Leverandøren væsentlig misligholder sine forpligtelser i henhold til </w:t>
      </w:r>
      <w:r w:rsidR="00CC64CD">
        <w:t>Aftale</w:t>
      </w:r>
      <w:r w:rsidRPr="00172F91">
        <w:t xml:space="preserve">n, er Banedanmark berettiget til at ophæve </w:t>
      </w:r>
      <w:r w:rsidR="00CC64CD">
        <w:t>Aftale</w:t>
      </w:r>
      <w:r w:rsidRPr="00172F91">
        <w:t xml:space="preserve">n. </w:t>
      </w:r>
      <w:r w:rsidRPr="00347460">
        <w:t xml:space="preserve">Følgende forhold, men ikke begrænset dertil, anses altid for </w:t>
      </w:r>
      <w:r>
        <w:t xml:space="preserve">at udgøre </w:t>
      </w:r>
      <w:r w:rsidRPr="00347460">
        <w:t>væsentlig misligholdelse</w:t>
      </w:r>
      <w:r>
        <w:t xml:space="preserve">, der berettiger Banedanmark til at ophæve </w:t>
      </w:r>
      <w:r w:rsidR="00CC64CD">
        <w:t>Aftale</w:t>
      </w:r>
      <w:r>
        <w:t>n</w:t>
      </w:r>
    </w:p>
    <w:p w14:paraId="108D243F" w14:textId="77777777" w:rsidR="00002CEC" w:rsidRDefault="00831704" w:rsidP="00002CEC">
      <w:pPr>
        <w:pStyle w:val="Listeafsnit"/>
        <w:numPr>
          <w:ilvl w:val="0"/>
          <w:numId w:val="12"/>
        </w:numPr>
      </w:pPr>
      <w:r w:rsidRPr="00831704">
        <w:t>Hvis misligholdelser, der hver for sig ikke udgør en væsentlig misligholdelse, samlet set er væsentlige for Banedanmark</w:t>
      </w:r>
    </w:p>
    <w:p w14:paraId="0F3AD364" w14:textId="0E132C0A" w:rsidR="00002CEC" w:rsidRPr="00002CEC" w:rsidRDefault="00002CEC" w:rsidP="00002CEC">
      <w:pPr>
        <w:pStyle w:val="Listeafsnit"/>
        <w:numPr>
          <w:ilvl w:val="0"/>
          <w:numId w:val="12"/>
        </w:numPr>
      </w:pPr>
      <w:r>
        <w:t>Hvis enkelte Leverancer bliver ophævet pga. mislighold, og Leverandøren ikke sandsynliggør at kunne levere korrekt fremover.</w:t>
      </w:r>
    </w:p>
    <w:p w14:paraId="6D083F6F" w14:textId="77777777" w:rsidR="0034547C" w:rsidRPr="003B59BF" w:rsidRDefault="0034547C" w:rsidP="000317DE">
      <w:pPr>
        <w:rPr>
          <w:highlight w:val="yellow"/>
        </w:rPr>
      </w:pPr>
    </w:p>
    <w:p w14:paraId="0B77DA0A" w14:textId="78AD9155" w:rsidR="0034547C" w:rsidRDefault="0034547C" w:rsidP="000317DE">
      <w:r w:rsidRPr="00347460">
        <w:t xml:space="preserve">Ved ophævelse af </w:t>
      </w:r>
      <w:r w:rsidR="00CC64CD">
        <w:t>Aftale</w:t>
      </w:r>
      <w:r w:rsidRPr="00347460">
        <w:t xml:space="preserve">n i sin helhed ophæves samtidig alle igangværende </w:t>
      </w:r>
      <w:r>
        <w:t>bestillinger</w:t>
      </w:r>
      <w:r w:rsidRPr="00347460">
        <w:t xml:space="preserve">, medmindre Banedanmark meddeler at </w:t>
      </w:r>
      <w:r>
        <w:t xml:space="preserve">ville </w:t>
      </w:r>
      <w:r w:rsidRPr="00347460">
        <w:t xml:space="preserve">fastholde de enkelte </w:t>
      </w:r>
      <w:r>
        <w:t>bestillinger</w:t>
      </w:r>
      <w:r w:rsidRPr="00347460">
        <w:t xml:space="preserve"> helt eller delvist. </w:t>
      </w:r>
    </w:p>
    <w:p w14:paraId="0FF478E5" w14:textId="77777777" w:rsidR="0034547C" w:rsidRDefault="0034547C" w:rsidP="000317DE"/>
    <w:p w14:paraId="30CE92B4" w14:textId="77777777" w:rsidR="0034547C" w:rsidRPr="004D7935" w:rsidRDefault="0034547C" w:rsidP="000317DE">
      <w:pPr>
        <w:rPr>
          <w:rFonts w:eastAsia="Calibri"/>
          <w:lang w:eastAsia="en-US"/>
        </w:rPr>
      </w:pPr>
      <w:r w:rsidRPr="00347460">
        <w:t xml:space="preserve">Ved ophævelsen skal Leverandøren straks tilbagebetale </w:t>
      </w:r>
      <w:r>
        <w:t>vederlaget</w:t>
      </w:r>
      <w:r w:rsidRPr="00347460">
        <w:t xml:space="preserve"> for de </w:t>
      </w:r>
      <w:r>
        <w:t>Leverancer</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7FDECEFD" w14:textId="77777777" w:rsidR="0034547C" w:rsidRDefault="0034547C" w:rsidP="000317DE"/>
    <w:p w14:paraId="21B7CAAE" w14:textId="77777777" w:rsidR="0034547C" w:rsidRDefault="0034547C" w:rsidP="000317DE">
      <w:r w:rsidRPr="00347460">
        <w:t xml:space="preserve">Banedanmark skal tilbagelevere de af ophævelsen omfattede </w:t>
      </w:r>
      <w:r>
        <w:t>Leverancer</w:t>
      </w:r>
      <w:r w:rsidRPr="00347460">
        <w:t xml:space="preserve"> i den stand, hvori de findes hos Banedanmark. Det påhviler Leverandøren at afhente disse, alternativt at betale for transporten </w:t>
      </w:r>
      <w:r>
        <w:t>h</w:t>
      </w:r>
      <w:r w:rsidRPr="00347460">
        <w:t xml:space="preserve">eraf. </w:t>
      </w:r>
    </w:p>
    <w:p w14:paraId="22E737F9" w14:textId="77777777" w:rsidR="0034547C" w:rsidRDefault="0034547C" w:rsidP="000317DE"/>
    <w:p w14:paraId="1B5B1F3B" w14:textId="77777777" w:rsidR="0034547C" w:rsidRPr="00347460" w:rsidRDefault="0034547C" w:rsidP="000317DE">
      <w:r>
        <w:t>Leverancer</w:t>
      </w:r>
      <w:r w:rsidRPr="00347460">
        <w:t xml:space="preserve">, der er forbrugt af Banedanmark, omfattes ikke af ophævelsen. </w:t>
      </w:r>
    </w:p>
    <w:p w14:paraId="11C9D0C2" w14:textId="77777777" w:rsidR="0034547C" w:rsidRPr="004F7CC8" w:rsidRDefault="0034547C" w:rsidP="000317DE"/>
    <w:p w14:paraId="5D6E20F1" w14:textId="0E42F947" w:rsidR="0034547C" w:rsidRDefault="0034547C" w:rsidP="00A52A65">
      <w:pPr>
        <w:pStyle w:val="Overskrift1"/>
      </w:pPr>
      <w:bookmarkStart w:id="132" w:name="_Toc80977994"/>
      <w:bookmarkStart w:id="133" w:name="_Toc113979257"/>
      <w:bookmarkStart w:id="134" w:name="_Toc113984557"/>
      <w:bookmarkStart w:id="135" w:name="_Ref127975296"/>
      <w:bookmarkStart w:id="136" w:name="_Toc149726720"/>
      <w:r w:rsidRPr="0086768E">
        <w:t>Erstatning</w:t>
      </w:r>
      <w:bookmarkStart w:id="137" w:name="_Toc78806269"/>
      <w:bookmarkEnd w:id="132"/>
      <w:bookmarkEnd w:id="133"/>
      <w:bookmarkEnd w:id="134"/>
      <w:bookmarkEnd w:id="135"/>
      <w:bookmarkEnd w:id="136"/>
      <w:r w:rsidRPr="0086768E">
        <w:t xml:space="preserve"> </w:t>
      </w:r>
      <w:bookmarkEnd w:id="137"/>
    </w:p>
    <w:p w14:paraId="64F2A03B" w14:textId="77777777" w:rsidR="0034547C" w:rsidRDefault="0034547C" w:rsidP="000317DE">
      <w:r w:rsidRPr="75CC5486">
        <w:t xml:space="preserve">Parterne er erstatningsansvarlige efter dansk rets almindelige regler. En Part er ikke ansvarlig for driftstab, avancetab eller andet indirekte tab. </w:t>
      </w:r>
    </w:p>
    <w:p w14:paraId="51C9487B" w14:textId="77777777" w:rsidR="0034547C" w:rsidRDefault="0034547C" w:rsidP="000317DE"/>
    <w:p w14:paraId="31EE6908" w14:textId="77777777" w:rsidR="0034547C" w:rsidRPr="0020138F" w:rsidRDefault="0034547C" w:rsidP="000317DE">
      <w:r w:rsidRPr="0020138F">
        <w:t xml:space="preserve">Leverandøren er forpligtet til at holde Banedanmark skadesløs for ethvert krav, herunder sagsomkostninger, som måtte blive rejst imod Banedanmark af tredjemand, og som er forårsaget af fejl eller mangler ved Leverancen, en produktskade eller Leverandørens skadevoldende adfærd. </w:t>
      </w:r>
    </w:p>
    <w:p w14:paraId="22402349" w14:textId="77777777" w:rsidR="0034547C" w:rsidRPr="0086768E" w:rsidRDefault="0034547C" w:rsidP="000317DE"/>
    <w:p w14:paraId="11967706" w14:textId="5A388906" w:rsidR="0034547C" w:rsidRPr="0086768E" w:rsidRDefault="0034547C" w:rsidP="000317DE">
      <w:r w:rsidRPr="0086768E">
        <w:t xml:space="preserve">Leverandøren skal yde erstatning for </w:t>
      </w:r>
      <w:r>
        <w:t xml:space="preserve">det tab, som </w:t>
      </w:r>
      <w:r w:rsidRPr="0086768E">
        <w:t>Banedanmark</w:t>
      </w:r>
      <w:r>
        <w:t xml:space="preserve"> måtte lide </w:t>
      </w:r>
      <w:r w:rsidRPr="0086768E">
        <w:t xml:space="preserve">ved </w:t>
      </w:r>
      <w:r>
        <w:t xml:space="preserve">foretagelse af </w:t>
      </w:r>
      <w:r w:rsidRPr="0086768E">
        <w:t xml:space="preserve">dækningskøb i </w:t>
      </w:r>
      <w:r>
        <w:t xml:space="preserve">medfør af nærværende </w:t>
      </w:r>
      <w:r w:rsidR="00CC64CD">
        <w:t>Aftale</w:t>
      </w:r>
      <w:r w:rsidRPr="0086768E">
        <w:t xml:space="preserve">. </w:t>
      </w:r>
    </w:p>
    <w:p w14:paraId="202FF533" w14:textId="77777777" w:rsidR="0034547C" w:rsidRDefault="0034547C" w:rsidP="000317DE"/>
    <w:p w14:paraId="6ADE666A" w14:textId="77777777" w:rsidR="0034547C" w:rsidRPr="0046749A" w:rsidDel="00A95051" w:rsidRDefault="0034547C" w:rsidP="000317DE">
      <w:r w:rsidRPr="0046749A" w:rsidDel="00A95051">
        <w:t xml:space="preserve">For forhold, der udløser betaling af bod, kan erstatning kun kræves i det omfang, Banedanmark dokumenterer at have lidt et tab ud over bodsbeløbet. </w:t>
      </w:r>
    </w:p>
    <w:p w14:paraId="710BD5E2" w14:textId="77777777" w:rsidR="0034547C" w:rsidRPr="0086768E" w:rsidRDefault="0034547C" w:rsidP="000317DE"/>
    <w:p w14:paraId="6E193629" w14:textId="77777777" w:rsidR="0034547C" w:rsidRDefault="0034547C" w:rsidP="000317DE"/>
    <w:p w14:paraId="583FB4DC" w14:textId="7F815F31" w:rsidR="0034547C" w:rsidRDefault="0034547C" w:rsidP="00A52A65">
      <w:pPr>
        <w:pStyle w:val="Overskrift1"/>
      </w:pPr>
      <w:bookmarkStart w:id="138" w:name="_Toc78806270"/>
      <w:bookmarkStart w:id="139" w:name="_Toc113979258"/>
      <w:bookmarkStart w:id="140" w:name="_Toc113984558"/>
      <w:bookmarkStart w:id="141" w:name="_Toc149726721"/>
      <w:bookmarkStart w:id="142" w:name="_Ref127975477"/>
      <w:r w:rsidRPr="0086768E">
        <w:lastRenderedPageBreak/>
        <w:t>Force Majeure</w:t>
      </w:r>
      <w:bookmarkStart w:id="143" w:name="_Toc80977995"/>
      <w:bookmarkEnd w:id="138"/>
      <w:bookmarkEnd w:id="139"/>
      <w:bookmarkEnd w:id="140"/>
      <w:bookmarkEnd w:id="141"/>
      <w:r w:rsidRPr="0086768E">
        <w:t xml:space="preserve"> </w:t>
      </w:r>
      <w:bookmarkEnd w:id="142"/>
      <w:bookmarkEnd w:id="143"/>
    </w:p>
    <w:p w14:paraId="1F0A4067" w14:textId="5F56A5AC" w:rsidR="0034547C" w:rsidRDefault="0034547C" w:rsidP="000317DE">
      <w:r w:rsidRPr="0080393F">
        <w:t xml:space="preserve">En </w:t>
      </w:r>
      <w:r>
        <w:t>P</w:t>
      </w:r>
      <w:r w:rsidRPr="0080393F">
        <w:t xml:space="preserve">art er i henhold til denne </w:t>
      </w:r>
      <w:r w:rsidR="00CC64CD">
        <w:t>Aftale</w:t>
      </w:r>
      <w:r w:rsidRPr="0080393F">
        <w:t xml:space="preserve"> ikke ansvarlig for forhold, der ligger uden for </w:t>
      </w:r>
      <w:r>
        <w:t>P</w:t>
      </w:r>
      <w:r w:rsidRPr="0080393F">
        <w:t xml:space="preserve">artens kontrol, og som </w:t>
      </w:r>
      <w:r>
        <w:t>P</w:t>
      </w:r>
      <w:r w:rsidRPr="0080393F">
        <w:t xml:space="preserve">arten ikke ved denne </w:t>
      </w:r>
      <w:r w:rsidR="00CC64CD">
        <w:t>Aftale</w:t>
      </w:r>
      <w:r w:rsidRPr="0080393F">
        <w:t xml:space="preserve">s indgåelse burde have taget i betragtning og ej heller efter </w:t>
      </w:r>
      <w:r w:rsidR="00CC64CD">
        <w:t>Aftale</w:t>
      </w:r>
      <w:r w:rsidRPr="0080393F">
        <w:t>ns indgåelse burde have undgået eller overvundet.</w:t>
      </w:r>
    </w:p>
    <w:p w14:paraId="67557925" w14:textId="77777777" w:rsidR="0034547C" w:rsidRDefault="0034547C" w:rsidP="000317DE"/>
    <w:p w14:paraId="55157674" w14:textId="77777777" w:rsidR="0034547C" w:rsidRPr="0080393F" w:rsidRDefault="0034547C" w:rsidP="000317DE"/>
    <w:p w14:paraId="336E1D34" w14:textId="620FEF47" w:rsidR="0034547C" w:rsidRDefault="0034547C" w:rsidP="000317DE">
      <w:bookmarkStart w:id="144" w:name="_Hlk81226510"/>
      <w:r w:rsidRPr="0080393F">
        <w:t>Den, der ønsker at påberåbe sig force majeure, skal uden ugrundet ophold, dog senest</w:t>
      </w:r>
      <w:r w:rsidR="00905B9F">
        <w:t xml:space="preserve"> 5 </w:t>
      </w:r>
      <w:r>
        <w:t>A</w:t>
      </w:r>
      <w:r w:rsidRPr="0080393F">
        <w:t>rbejdsdage efter at force majeure er indtrådt</w:t>
      </w:r>
      <w:r>
        <w:t xml:space="preserve">, </w:t>
      </w:r>
      <w:r w:rsidRPr="0080393F">
        <w:t>give skriftlig meddelelse herom</w:t>
      </w:r>
      <w:r w:rsidRPr="00CF268D">
        <w:t xml:space="preserve"> samt</w:t>
      </w:r>
      <w:r w:rsidRPr="004D451F">
        <w:t xml:space="preserve"> anføre den tidsmæssige udstrækning heraf. </w:t>
      </w:r>
    </w:p>
    <w:bookmarkEnd w:id="144"/>
    <w:p w14:paraId="22631E4C" w14:textId="77777777" w:rsidR="0034547C" w:rsidRDefault="0034547C" w:rsidP="000317DE"/>
    <w:p w14:paraId="4F8E0B3F" w14:textId="73061C5A" w:rsidR="0034547C" w:rsidRDefault="0034547C" w:rsidP="000317DE">
      <w:r w:rsidRPr="0080393F">
        <w:t xml:space="preserve">Varer en force majeure-situation i mere end </w:t>
      </w:r>
      <w:r w:rsidR="00905B9F">
        <w:t>40</w:t>
      </w:r>
      <w:r w:rsidRPr="0080393F">
        <w:t xml:space="preserve"> </w:t>
      </w:r>
      <w:r>
        <w:t>A</w:t>
      </w:r>
      <w:r w:rsidRPr="0080393F">
        <w:t xml:space="preserve">rbejdsdage, eller er force majeure-situationen af en sådan karakter eller har en sådan varighed, at </w:t>
      </w:r>
      <w:r w:rsidR="00CC64CD">
        <w:t>Aftale</w:t>
      </w:r>
      <w:r w:rsidRPr="0080393F">
        <w:t xml:space="preserve">ns endelige opfyldelse må anses for umulig, er den anden </w:t>
      </w:r>
      <w:r>
        <w:t>P</w:t>
      </w:r>
      <w:r w:rsidRPr="0080393F">
        <w:t xml:space="preserve">art berettiget til at bringe denne </w:t>
      </w:r>
      <w:r w:rsidR="00CC64CD">
        <w:t>Aftale</w:t>
      </w:r>
      <w:r w:rsidRPr="0080393F">
        <w:t xml:space="preserve"> til ophør uden varsel.</w:t>
      </w:r>
      <w:r>
        <w:t xml:space="preserve"> </w:t>
      </w:r>
      <w:r w:rsidRPr="004D451F">
        <w:t xml:space="preserve">I tilfælde af sådan ophævelse forholder </w:t>
      </w:r>
      <w:r>
        <w:t>P</w:t>
      </w:r>
      <w:r w:rsidRPr="004D451F">
        <w:t xml:space="preserve">arterne sig som angivet i </w:t>
      </w:r>
      <w:r w:rsidR="001979DF">
        <w:fldChar w:fldCharType="begin"/>
      </w:r>
      <w:r w:rsidR="001979DF">
        <w:instrText xml:space="preserve"> REF _Ref127975579 \r </w:instrText>
      </w:r>
      <w:r w:rsidR="001979DF">
        <w:fldChar w:fldCharType="separate"/>
      </w:r>
      <w:r w:rsidR="006D06CF">
        <w:t>§ 19</w:t>
      </w:r>
      <w:r w:rsidR="001979DF">
        <w:fldChar w:fldCharType="end"/>
      </w:r>
      <w:r w:rsidRPr="004D451F">
        <w:t xml:space="preserve">, idet ingen af </w:t>
      </w:r>
      <w:r>
        <w:t>P</w:t>
      </w:r>
      <w:r w:rsidRPr="004D451F">
        <w:t xml:space="preserve">arterne dog er berettiget til at kræve erstatning af den anden </w:t>
      </w:r>
      <w:r>
        <w:t>P</w:t>
      </w:r>
      <w:r w:rsidRPr="004D451F">
        <w:t>art.</w:t>
      </w:r>
    </w:p>
    <w:p w14:paraId="60861D1D" w14:textId="77777777" w:rsidR="0034547C" w:rsidRPr="009B2605" w:rsidRDefault="0034547C" w:rsidP="000317DE"/>
    <w:p w14:paraId="1417DC7F" w14:textId="09D7B5F4" w:rsidR="0034547C" w:rsidRDefault="0034547C" w:rsidP="00A52A65">
      <w:pPr>
        <w:pStyle w:val="Overskrift1"/>
      </w:pPr>
      <w:bookmarkStart w:id="145" w:name="_Toc78806274"/>
      <w:bookmarkStart w:id="146" w:name="_Toc80978000"/>
      <w:bookmarkStart w:id="147" w:name="_Toc113979261"/>
      <w:bookmarkStart w:id="148" w:name="_Toc113984561"/>
      <w:bookmarkStart w:id="149" w:name="_Toc149726722"/>
      <w:r w:rsidRPr="0086768E">
        <w:t>Tvister</w:t>
      </w:r>
      <w:r>
        <w:t>,</w:t>
      </w:r>
      <w:r w:rsidRPr="0086768E">
        <w:t xml:space="preserve"> lovvalg</w:t>
      </w:r>
      <w:r>
        <w:t xml:space="preserve"> og værneting</w:t>
      </w:r>
      <w:bookmarkEnd w:id="145"/>
      <w:bookmarkEnd w:id="146"/>
      <w:bookmarkEnd w:id="147"/>
      <w:bookmarkEnd w:id="148"/>
      <w:bookmarkEnd w:id="149"/>
      <w:r w:rsidRPr="0086768E">
        <w:t xml:space="preserve"> </w:t>
      </w:r>
    </w:p>
    <w:p w14:paraId="7272AA62" w14:textId="0D052A3F" w:rsidR="0034547C" w:rsidRDefault="0034547C" w:rsidP="000317DE">
      <w:bookmarkStart w:id="150" w:name="_Hlk499795083"/>
      <w:r w:rsidRPr="0086768E">
        <w:t>Enhver tvist, der u</w:t>
      </w:r>
      <w:r>
        <w:t xml:space="preserve">dspringer af nærværende </w:t>
      </w:r>
      <w:r w:rsidR="00CC64CD">
        <w:t>Aftale</w:t>
      </w:r>
      <w:r w:rsidRPr="0086768E">
        <w:t xml:space="preserve">, skal forsøges løst i mindelighed mellem </w:t>
      </w:r>
      <w:r>
        <w:t>P</w:t>
      </w:r>
      <w:r w:rsidRPr="0086768E">
        <w:t>arterne.</w:t>
      </w:r>
    </w:p>
    <w:p w14:paraId="33FF5EEC" w14:textId="77777777" w:rsidR="0034547C" w:rsidRDefault="0034547C" w:rsidP="000317DE"/>
    <w:p w14:paraId="66E95E2C" w14:textId="19E9F6D5" w:rsidR="0034547C" w:rsidRPr="00CD3E72" w:rsidRDefault="00CC64CD" w:rsidP="000317DE">
      <w:r>
        <w:t>Aftale</w:t>
      </w:r>
      <w:r w:rsidR="0034547C" w:rsidRPr="00CD3E72">
        <w:t xml:space="preserve">n er undergivet dansk ret, dog undtaget de danske lovvalgsregler samt FN's </w:t>
      </w:r>
      <w:proofErr w:type="spellStart"/>
      <w:r w:rsidR="0034547C" w:rsidRPr="00CD3E72">
        <w:t>Convention</w:t>
      </w:r>
      <w:proofErr w:type="spellEnd"/>
      <w:r w:rsidR="0034547C" w:rsidRPr="00CD3E72">
        <w:t xml:space="preserve"> on the International Sale of Goods (CISG).</w:t>
      </w:r>
    </w:p>
    <w:p w14:paraId="21CEA10B" w14:textId="77777777" w:rsidR="0034547C" w:rsidRPr="0086768E" w:rsidRDefault="0034547C" w:rsidP="000317DE"/>
    <w:p w14:paraId="0F04DB6C" w14:textId="77777777" w:rsidR="0034547C" w:rsidRPr="004E1C94" w:rsidRDefault="0034547C" w:rsidP="000317DE">
      <w:r>
        <w:t>Uoverensstemmelser, der ikke kan løses i menighed mellem Parterne, afgøres ved de danske domstole. Værneting er</w:t>
      </w:r>
      <w:r w:rsidRPr="0086768E">
        <w:t xml:space="preserve"> Københavns Byret. </w:t>
      </w:r>
      <w:bookmarkEnd w:id="150"/>
    </w:p>
    <w:p w14:paraId="48626918" w14:textId="77777777" w:rsidR="0034547C" w:rsidRDefault="0034547C" w:rsidP="000317DE"/>
    <w:p w14:paraId="026693AA" w14:textId="5C7DF2BE" w:rsidR="0034547C" w:rsidRPr="0052301B" w:rsidRDefault="0034547C" w:rsidP="00A52A65">
      <w:pPr>
        <w:pStyle w:val="Overskrift1"/>
      </w:pPr>
      <w:bookmarkStart w:id="151" w:name="_Toc78806275"/>
      <w:bookmarkStart w:id="152" w:name="_Toc80978001"/>
      <w:bookmarkStart w:id="153" w:name="_Toc113979262"/>
      <w:bookmarkStart w:id="154" w:name="_Toc113984562"/>
      <w:bookmarkStart w:id="155" w:name="_Toc149726723"/>
      <w:r w:rsidRPr="00017EB5">
        <w:t>Ændringer</w:t>
      </w:r>
      <w:bookmarkEnd w:id="151"/>
      <w:bookmarkEnd w:id="152"/>
      <w:bookmarkEnd w:id="153"/>
      <w:bookmarkEnd w:id="154"/>
      <w:bookmarkEnd w:id="155"/>
      <w:r w:rsidRPr="00017EB5">
        <w:t xml:space="preserve"> </w:t>
      </w:r>
    </w:p>
    <w:p w14:paraId="52C794FF" w14:textId="6AABDC6B" w:rsidR="001E1166" w:rsidRDefault="0034547C" w:rsidP="000317DE">
      <w:r w:rsidRPr="75CC5486">
        <w:t xml:space="preserve">Parterne kan med respekt for de udbudsretlige regler aftale ændringer i kontraktgrundlaget. Enhver ændring eller tilføjelse til </w:t>
      </w:r>
      <w:r w:rsidR="00CC64CD">
        <w:t>Aftale</w:t>
      </w:r>
      <w:r w:rsidRPr="75CC5486">
        <w:t>n skal aftales skriftligt mellem Parterne</w:t>
      </w:r>
      <w:r w:rsidR="00396172">
        <w:t xml:space="preserve">. </w:t>
      </w:r>
    </w:p>
    <w:p w14:paraId="6EA99CD6" w14:textId="77777777" w:rsidR="0034547C" w:rsidRPr="00910C06" w:rsidRDefault="0034547C" w:rsidP="000317DE"/>
    <w:p w14:paraId="49838DA3" w14:textId="77777777" w:rsidR="0034547C" w:rsidRDefault="0034547C" w:rsidP="000317DE">
      <w:r w:rsidRPr="5069F696">
        <w:t xml:space="preserve">En Part skal straks give den anden Part underretning, såfremt Parten ændrer status som juridisk person eller tages under konkursbehandling, rekonstruktionsbehandling eller frivillig likvidation. </w:t>
      </w:r>
    </w:p>
    <w:p w14:paraId="56DD7530" w14:textId="77777777" w:rsidR="0034547C" w:rsidRDefault="0034547C" w:rsidP="000317DE"/>
    <w:p w14:paraId="08E59D84" w14:textId="061D5752" w:rsidR="0034547C" w:rsidRDefault="0034547C" w:rsidP="00A52A65">
      <w:pPr>
        <w:pStyle w:val="Overskrift1"/>
      </w:pPr>
      <w:bookmarkStart w:id="156" w:name="_Toc78806276"/>
      <w:bookmarkStart w:id="157" w:name="_Toc80978002"/>
      <w:bookmarkStart w:id="158" w:name="_Toc113979263"/>
      <w:bookmarkStart w:id="159" w:name="_Toc113984563"/>
      <w:bookmarkStart w:id="160" w:name="_Toc149726724"/>
      <w:r w:rsidRPr="00017EB5">
        <w:t>Underskrifter</w:t>
      </w:r>
      <w:bookmarkEnd w:id="156"/>
      <w:bookmarkEnd w:id="157"/>
      <w:bookmarkEnd w:id="158"/>
      <w:bookmarkEnd w:id="159"/>
      <w:bookmarkEnd w:id="160"/>
      <w:r w:rsidRPr="00017EB5">
        <w:t xml:space="preserve"> </w:t>
      </w:r>
    </w:p>
    <w:p w14:paraId="6BD873B8" w14:textId="1A3F7A40" w:rsidR="0034547C" w:rsidRPr="00017EB5" w:rsidRDefault="0034547C" w:rsidP="000317DE">
      <w:r w:rsidRPr="00017EB5">
        <w:t xml:space="preserve">Nærværende </w:t>
      </w:r>
      <w:r w:rsidR="00CC64CD">
        <w:t>Aftale</w:t>
      </w:r>
      <w:r w:rsidRPr="00017EB5">
        <w:t xml:space="preserve"> underskrives i to originale eksemplarer. Parterne modtager hver et eksemplar med tilhørende bilag.</w:t>
      </w:r>
    </w:p>
    <w:p w14:paraId="69DC3E78" w14:textId="77777777" w:rsidR="0034547C" w:rsidRPr="00395DF8" w:rsidRDefault="0034547C" w:rsidP="000317DE">
      <w:r w:rsidRPr="00395DF8">
        <w:t>Anvend blokbogstaver ved udfyld</w:t>
      </w:r>
      <w:r>
        <w:t>else</w:t>
      </w:r>
      <w:r w:rsidRPr="00395DF8">
        <w:t xml:space="preserve"> af nedenstående</w:t>
      </w:r>
    </w:p>
    <w:p w14:paraId="4E25A317" w14:textId="6DBBD422" w:rsidR="0034547C" w:rsidRDefault="0034547C" w:rsidP="000317DE"/>
    <w:p w14:paraId="525D1C11" w14:textId="77777777" w:rsidR="00D17118" w:rsidRPr="00017EB5" w:rsidRDefault="00D17118" w:rsidP="00D17118">
      <w:pPr>
        <w:ind w:firstLine="1304"/>
      </w:pPr>
      <w:r w:rsidRPr="00017EB5">
        <w:t>For Banedanmark</w:t>
      </w:r>
      <w:r w:rsidRPr="00017EB5">
        <w:tab/>
      </w:r>
      <w:r w:rsidRPr="00017EB5">
        <w:tab/>
        <w:t>For Leverandøren</w:t>
      </w:r>
    </w:p>
    <w:p w14:paraId="590A8CD8" w14:textId="77777777" w:rsidR="00D17118" w:rsidRDefault="00D17118" w:rsidP="00D17118"/>
    <w:p w14:paraId="04CA1E0D" w14:textId="77777777" w:rsidR="00D17118" w:rsidRPr="00017EB5" w:rsidRDefault="00D17118" w:rsidP="00D17118">
      <w:pPr>
        <w:ind w:firstLine="1304"/>
      </w:pPr>
      <w:r w:rsidRPr="00017EB5">
        <w:t xml:space="preserve">Dato: </w:t>
      </w:r>
      <w:r w:rsidRPr="00017EB5">
        <w:tab/>
      </w:r>
      <w:r w:rsidRPr="00017EB5">
        <w:tab/>
      </w:r>
      <w:r w:rsidRPr="00017EB5">
        <w:tab/>
        <w:t xml:space="preserve">Dato: </w:t>
      </w:r>
    </w:p>
    <w:p w14:paraId="58EF9B8F" w14:textId="77777777" w:rsidR="00D17118" w:rsidRPr="00017EB5" w:rsidRDefault="00D17118" w:rsidP="00D17118"/>
    <w:p w14:paraId="7B2F97AF" w14:textId="2585C705" w:rsidR="00D17118" w:rsidRPr="00017EB5" w:rsidRDefault="00D17118" w:rsidP="00D17118">
      <w:pPr>
        <w:ind w:firstLine="1304"/>
      </w:pPr>
      <w:r w:rsidRPr="00017EB5">
        <w:t xml:space="preserve">Navn: </w:t>
      </w:r>
      <w:r w:rsidR="00ED651A">
        <w:t>xx</w:t>
      </w:r>
      <w:r w:rsidR="00ED651A">
        <w:tab/>
      </w:r>
      <w:r w:rsidR="00ED651A">
        <w:tab/>
      </w:r>
      <w:r w:rsidR="00FA115F">
        <w:tab/>
      </w:r>
      <w:r w:rsidRPr="00017EB5">
        <w:t xml:space="preserve">Navn </w:t>
      </w:r>
      <w:r w:rsidR="00ED651A">
        <w:t>xx</w:t>
      </w:r>
    </w:p>
    <w:p w14:paraId="6BDB1380" w14:textId="77777777" w:rsidR="00D17118" w:rsidRPr="00017EB5" w:rsidRDefault="00D17118" w:rsidP="00D17118"/>
    <w:p w14:paraId="59C60E64" w14:textId="1830C0D8" w:rsidR="00332981" w:rsidRDefault="00D17118" w:rsidP="00D17118">
      <w:pPr>
        <w:ind w:firstLine="1304"/>
      </w:pPr>
      <w:r w:rsidRPr="00017EB5">
        <w:t xml:space="preserve">Titel: </w:t>
      </w:r>
      <w:r w:rsidR="00A95F1C">
        <w:t>Projektleder (anlæg)</w:t>
      </w:r>
      <w:r w:rsidRPr="00017EB5">
        <w:tab/>
      </w:r>
      <w:r w:rsidRPr="00017EB5">
        <w:tab/>
        <w:t xml:space="preserve">Titel: </w:t>
      </w:r>
      <w:r w:rsidR="00ED651A">
        <w:tab/>
      </w:r>
      <w:r w:rsidR="00A95F1C">
        <w:t>Salgschef</w:t>
      </w:r>
    </w:p>
    <w:sectPr w:rsidR="00332981" w:rsidSect="00D17118">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F244" w14:textId="77777777" w:rsidR="00F91F1B" w:rsidRDefault="00F91F1B" w:rsidP="00332981">
      <w:pPr>
        <w:spacing w:line="240" w:lineRule="auto"/>
      </w:pPr>
      <w:r>
        <w:separator/>
      </w:r>
    </w:p>
  </w:endnote>
  <w:endnote w:type="continuationSeparator" w:id="0">
    <w:p w14:paraId="5746C880" w14:textId="77777777" w:rsidR="00F91F1B" w:rsidRDefault="00F91F1B" w:rsidP="00332981">
      <w:pPr>
        <w:spacing w:line="240" w:lineRule="auto"/>
      </w:pPr>
      <w:r>
        <w:continuationSeparator/>
      </w:r>
    </w:p>
  </w:endnote>
  <w:endnote w:type="continuationNotice" w:id="1">
    <w:p w14:paraId="3B8E9895" w14:textId="77777777" w:rsidR="00F91F1B" w:rsidRDefault="00F91F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342D" w14:textId="11800B83" w:rsidR="00D17118" w:rsidRDefault="00D17118">
    <w:pPr>
      <w:pStyle w:val="Sidefod"/>
    </w:pPr>
    <w:r>
      <w:t xml:space="preserve">Side </w:t>
    </w:r>
    <w:r>
      <w:fldChar w:fldCharType="begin"/>
    </w:r>
    <w:r>
      <w:instrText>PAGE   \* MERGEFORMAT</w:instrText>
    </w:r>
    <w:r>
      <w:fldChar w:fldCharType="separate"/>
    </w:r>
    <w:r>
      <w:t>1</w:t>
    </w:r>
    <w:r>
      <w:fldChar w:fldCharType="end"/>
    </w:r>
    <w:r>
      <w:t>/</w:t>
    </w:r>
    <w:r w:rsidR="001979DF">
      <w:fldChar w:fldCharType="begin"/>
    </w:r>
    <w:r w:rsidR="001979DF">
      <w:instrText xml:space="preserve"> NUMPAGES  \* Arabic  \* MERGEFORMAT </w:instrText>
    </w:r>
    <w:r w:rsidR="001979DF">
      <w:fldChar w:fldCharType="separate"/>
    </w:r>
    <w:r>
      <w:rPr>
        <w:noProof/>
      </w:rPr>
      <w:t>15</w:t>
    </w:r>
    <w:r w:rsidR="001979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7E93" w14:textId="77777777" w:rsidR="00F91F1B" w:rsidRDefault="00F91F1B" w:rsidP="00332981">
      <w:pPr>
        <w:spacing w:line="240" w:lineRule="auto"/>
      </w:pPr>
      <w:r>
        <w:separator/>
      </w:r>
    </w:p>
  </w:footnote>
  <w:footnote w:type="continuationSeparator" w:id="0">
    <w:p w14:paraId="3ACDA83C" w14:textId="77777777" w:rsidR="00F91F1B" w:rsidRDefault="00F91F1B" w:rsidP="00332981">
      <w:pPr>
        <w:spacing w:line="240" w:lineRule="auto"/>
      </w:pPr>
      <w:r>
        <w:continuationSeparator/>
      </w:r>
    </w:p>
  </w:footnote>
  <w:footnote w:type="continuationNotice" w:id="1">
    <w:p w14:paraId="04FE6A3E" w14:textId="77777777" w:rsidR="00F91F1B" w:rsidRDefault="00F91F1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75"/>
    <w:multiLevelType w:val="hybridMultilevel"/>
    <w:tmpl w:val="40845BA6"/>
    <w:lvl w:ilvl="0" w:tplc="F17A774C">
      <w:start w:val="1"/>
      <w:numFmt w:val="bullet"/>
      <w:pStyle w:val="Opstillingmedbullet"/>
      <w:lvlText w:val=""/>
      <w:lvlJc w:val="left"/>
      <w:pPr>
        <w:ind w:left="720" w:hanging="360"/>
      </w:pPr>
      <w:rPr>
        <w:rFonts w:ascii="Symbol" w:hAnsi="Symbol" w:hint="default"/>
      </w:rPr>
    </w:lvl>
    <w:lvl w:ilvl="1" w:tplc="2382A57C" w:tentative="1">
      <w:start w:val="1"/>
      <w:numFmt w:val="bullet"/>
      <w:lvlText w:val="o"/>
      <w:lvlJc w:val="left"/>
      <w:pPr>
        <w:ind w:left="1440" w:hanging="360"/>
      </w:pPr>
      <w:rPr>
        <w:rFonts w:ascii="Courier New" w:hAnsi="Courier New" w:cs="Courier New" w:hint="default"/>
      </w:rPr>
    </w:lvl>
    <w:lvl w:ilvl="2" w:tplc="FD380488" w:tentative="1">
      <w:start w:val="1"/>
      <w:numFmt w:val="bullet"/>
      <w:lvlText w:val=""/>
      <w:lvlJc w:val="left"/>
      <w:pPr>
        <w:ind w:left="2160" w:hanging="360"/>
      </w:pPr>
      <w:rPr>
        <w:rFonts w:ascii="Wingdings" w:hAnsi="Wingdings" w:hint="default"/>
      </w:rPr>
    </w:lvl>
    <w:lvl w:ilvl="3" w:tplc="3CEA26BC" w:tentative="1">
      <w:start w:val="1"/>
      <w:numFmt w:val="bullet"/>
      <w:lvlText w:val=""/>
      <w:lvlJc w:val="left"/>
      <w:pPr>
        <w:ind w:left="2880" w:hanging="360"/>
      </w:pPr>
      <w:rPr>
        <w:rFonts w:ascii="Symbol" w:hAnsi="Symbol" w:hint="default"/>
      </w:rPr>
    </w:lvl>
    <w:lvl w:ilvl="4" w:tplc="54FCE1B6" w:tentative="1">
      <w:start w:val="1"/>
      <w:numFmt w:val="bullet"/>
      <w:lvlText w:val="o"/>
      <w:lvlJc w:val="left"/>
      <w:pPr>
        <w:ind w:left="3600" w:hanging="360"/>
      </w:pPr>
      <w:rPr>
        <w:rFonts w:ascii="Courier New" w:hAnsi="Courier New" w:cs="Courier New" w:hint="default"/>
      </w:rPr>
    </w:lvl>
    <w:lvl w:ilvl="5" w:tplc="A4AE0EFA" w:tentative="1">
      <w:start w:val="1"/>
      <w:numFmt w:val="bullet"/>
      <w:lvlText w:val=""/>
      <w:lvlJc w:val="left"/>
      <w:pPr>
        <w:ind w:left="4320" w:hanging="360"/>
      </w:pPr>
      <w:rPr>
        <w:rFonts w:ascii="Wingdings" w:hAnsi="Wingdings" w:hint="default"/>
      </w:rPr>
    </w:lvl>
    <w:lvl w:ilvl="6" w:tplc="13E8EC06" w:tentative="1">
      <w:start w:val="1"/>
      <w:numFmt w:val="bullet"/>
      <w:lvlText w:val=""/>
      <w:lvlJc w:val="left"/>
      <w:pPr>
        <w:ind w:left="5040" w:hanging="360"/>
      </w:pPr>
      <w:rPr>
        <w:rFonts w:ascii="Symbol" w:hAnsi="Symbol" w:hint="default"/>
      </w:rPr>
    </w:lvl>
    <w:lvl w:ilvl="7" w:tplc="64BE47F8" w:tentative="1">
      <w:start w:val="1"/>
      <w:numFmt w:val="bullet"/>
      <w:lvlText w:val="o"/>
      <w:lvlJc w:val="left"/>
      <w:pPr>
        <w:ind w:left="5760" w:hanging="360"/>
      </w:pPr>
      <w:rPr>
        <w:rFonts w:ascii="Courier New" w:hAnsi="Courier New" w:cs="Courier New" w:hint="default"/>
      </w:rPr>
    </w:lvl>
    <w:lvl w:ilvl="8" w:tplc="8C923C24" w:tentative="1">
      <w:start w:val="1"/>
      <w:numFmt w:val="bullet"/>
      <w:lvlText w:val=""/>
      <w:lvlJc w:val="left"/>
      <w:pPr>
        <w:ind w:left="6480" w:hanging="360"/>
      </w:pPr>
      <w:rPr>
        <w:rFonts w:ascii="Wingdings" w:hAnsi="Wingdings" w:hint="default"/>
      </w:rPr>
    </w:lvl>
  </w:abstractNum>
  <w:abstractNum w:abstractNumId="1" w15:restartNumberingAfterBreak="0">
    <w:nsid w:val="11B16876"/>
    <w:multiLevelType w:val="hybridMultilevel"/>
    <w:tmpl w:val="E34423C8"/>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0516E40"/>
    <w:multiLevelType w:val="hybridMultilevel"/>
    <w:tmpl w:val="95EE4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A62CE"/>
    <w:multiLevelType w:val="hybridMultilevel"/>
    <w:tmpl w:val="0BF437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0A74ED"/>
    <w:multiLevelType w:val="hybridMultilevel"/>
    <w:tmpl w:val="02DA9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C9476E"/>
    <w:multiLevelType w:val="hybridMultilevel"/>
    <w:tmpl w:val="3ADC8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C87592"/>
    <w:multiLevelType w:val="hybridMultilevel"/>
    <w:tmpl w:val="76261D9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1A5E58"/>
    <w:multiLevelType w:val="multilevel"/>
    <w:tmpl w:val="EA64A1F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817940"/>
    <w:multiLevelType w:val="hybridMultilevel"/>
    <w:tmpl w:val="B6F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8D70E"/>
    <w:multiLevelType w:val="multilevel"/>
    <w:tmpl w:val="2DA8DF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62906"/>
    <w:multiLevelType w:val="hybridMultilevel"/>
    <w:tmpl w:val="04A44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56E5D6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AF4494"/>
    <w:multiLevelType w:val="multilevel"/>
    <w:tmpl w:val="9B7AFC1C"/>
    <w:lvl w:ilvl="0">
      <w:start w:val="1"/>
      <w:numFmt w:val="decimal"/>
      <w:pStyle w:val="Overskrift1"/>
      <w:lvlText w:val="§ %1"/>
      <w:lvlJc w:val="left"/>
      <w:pPr>
        <w:tabs>
          <w:tab w:val="num" w:pos="1491"/>
        </w:tabs>
        <w:ind w:left="0" w:firstLine="0"/>
      </w:pPr>
      <w:rPr>
        <w:rFonts w:hint="default"/>
      </w:rPr>
    </w:lvl>
    <w:lvl w:ilvl="1">
      <w:start w:val="1"/>
      <w:numFmt w:val="decimal"/>
      <w:pStyle w:val="Overskrift2"/>
      <w:lvlText w:val="§ %1.%2"/>
      <w:lvlJc w:val="left"/>
      <w:pPr>
        <w:tabs>
          <w:tab w:val="num" w:pos="1916"/>
        </w:tabs>
        <w:ind w:left="1916" w:hanging="1491"/>
      </w:pPr>
      <w:rPr>
        <w:rFonts w:hint="default"/>
      </w:rPr>
    </w:lvl>
    <w:lvl w:ilvl="2">
      <w:start w:val="1"/>
      <w:numFmt w:val="lowerRoman"/>
      <w:lvlText w:val="%3."/>
      <w:lvlJc w:val="right"/>
      <w:pPr>
        <w:tabs>
          <w:tab w:val="num" w:pos="360"/>
        </w:tabs>
        <w:ind w:left="1491" w:hanging="1491"/>
      </w:pPr>
      <w:rPr>
        <w:rFonts w:hint="default"/>
      </w:rPr>
    </w:lvl>
    <w:lvl w:ilvl="3">
      <w:start w:val="1"/>
      <w:numFmt w:val="decimal"/>
      <w:lvlText w:val="%4."/>
      <w:lvlJc w:val="left"/>
      <w:pPr>
        <w:tabs>
          <w:tab w:val="num" w:pos="360"/>
        </w:tabs>
        <w:ind w:left="1491" w:hanging="1491"/>
      </w:pPr>
      <w:rPr>
        <w:rFonts w:hint="default"/>
      </w:rPr>
    </w:lvl>
    <w:lvl w:ilvl="4">
      <w:start w:val="1"/>
      <w:numFmt w:val="lowerLetter"/>
      <w:lvlText w:val="%5."/>
      <w:lvlJc w:val="left"/>
      <w:pPr>
        <w:tabs>
          <w:tab w:val="num" w:pos="360"/>
        </w:tabs>
        <w:ind w:left="1491" w:hanging="1491"/>
      </w:pPr>
      <w:rPr>
        <w:rFonts w:hint="default"/>
      </w:rPr>
    </w:lvl>
    <w:lvl w:ilvl="5">
      <w:start w:val="1"/>
      <w:numFmt w:val="lowerRoman"/>
      <w:lvlText w:val="%6."/>
      <w:lvlJc w:val="right"/>
      <w:pPr>
        <w:tabs>
          <w:tab w:val="num" w:pos="360"/>
        </w:tabs>
        <w:ind w:left="1491" w:hanging="1491"/>
      </w:pPr>
      <w:rPr>
        <w:rFonts w:hint="default"/>
      </w:rPr>
    </w:lvl>
    <w:lvl w:ilvl="6">
      <w:start w:val="1"/>
      <w:numFmt w:val="decimal"/>
      <w:lvlText w:val="%7."/>
      <w:lvlJc w:val="left"/>
      <w:pPr>
        <w:tabs>
          <w:tab w:val="num" w:pos="360"/>
        </w:tabs>
        <w:ind w:left="1491" w:hanging="1491"/>
      </w:pPr>
      <w:rPr>
        <w:rFonts w:hint="default"/>
      </w:rPr>
    </w:lvl>
    <w:lvl w:ilvl="7">
      <w:start w:val="1"/>
      <w:numFmt w:val="lowerLetter"/>
      <w:lvlText w:val="%8."/>
      <w:lvlJc w:val="left"/>
      <w:pPr>
        <w:tabs>
          <w:tab w:val="num" w:pos="360"/>
        </w:tabs>
        <w:ind w:left="1491" w:hanging="1491"/>
      </w:pPr>
      <w:rPr>
        <w:rFonts w:hint="default"/>
      </w:rPr>
    </w:lvl>
    <w:lvl w:ilvl="8">
      <w:start w:val="1"/>
      <w:numFmt w:val="lowerRoman"/>
      <w:lvlText w:val="%9."/>
      <w:lvlJc w:val="right"/>
      <w:pPr>
        <w:tabs>
          <w:tab w:val="num" w:pos="360"/>
        </w:tabs>
        <w:ind w:left="1491" w:hanging="1491"/>
      </w:pPr>
      <w:rPr>
        <w:rFonts w:hint="default"/>
      </w:rPr>
    </w:lvl>
  </w:abstractNum>
  <w:abstractNum w:abstractNumId="13" w15:restartNumberingAfterBreak="0">
    <w:nsid w:val="59375394"/>
    <w:multiLevelType w:val="hybridMultilevel"/>
    <w:tmpl w:val="54FEED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822E8E"/>
    <w:multiLevelType w:val="hybridMultilevel"/>
    <w:tmpl w:val="61B25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670547"/>
    <w:multiLevelType w:val="hybridMultilevel"/>
    <w:tmpl w:val="2C66CA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3044FB"/>
    <w:multiLevelType w:val="hybridMultilevel"/>
    <w:tmpl w:val="0C7C722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4907806">
    <w:abstractNumId w:val="11"/>
  </w:num>
  <w:num w:numId="2" w16cid:durableId="517741667">
    <w:abstractNumId w:val="12"/>
  </w:num>
  <w:num w:numId="3" w16cid:durableId="1103112145">
    <w:abstractNumId w:val="16"/>
  </w:num>
  <w:num w:numId="4" w16cid:durableId="640959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5968206">
    <w:abstractNumId w:val="17"/>
  </w:num>
  <w:num w:numId="6" w16cid:durableId="387340112">
    <w:abstractNumId w:val="9"/>
  </w:num>
  <w:num w:numId="7" w16cid:durableId="1028527759">
    <w:abstractNumId w:val="0"/>
  </w:num>
  <w:num w:numId="8" w16cid:durableId="129060938">
    <w:abstractNumId w:val="6"/>
  </w:num>
  <w:num w:numId="9" w16cid:durableId="514222888">
    <w:abstractNumId w:val="3"/>
  </w:num>
  <w:num w:numId="10" w16cid:durableId="220752467">
    <w:abstractNumId w:val="13"/>
  </w:num>
  <w:num w:numId="11" w16cid:durableId="1287926304">
    <w:abstractNumId w:val="14"/>
  </w:num>
  <w:num w:numId="12" w16cid:durableId="472790871">
    <w:abstractNumId w:val="10"/>
  </w:num>
  <w:num w:numId="13" w16cid:durableId="1961373508">
    <w:abstractNumId w:val="5"/>
  </w:num>
  <w:num w:numId="14" w16cid:durableId="306596082">
    <w:abstractNumId w:val="4"/>
  </w:num>
  <w:num w:numId="15" w16cid:durableId="1265110059">
    <w:abstractNumId w:val="15"/>
  </w:num>
  <w:num w:numId="16" w16cid:durableId="277881954">
    <w:abstractNumId w:val="1"/>
  </w:num>
  <w:num w:numId="17" w16cid:durableId="1076198594">
    <w:abstractNumId w:val="8"/>
  </w:num>
  <w:num w:numId="18" w16cid:durableId="3476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A8"/>
    <w:rsid w:val="00001D10"/>
    <w:rsid w:val="00002CEC"/>
    <w:rsid w:val="00003C99"/>
    <w:rsid w:val="000317DE"/>
    <w:rsid w:val="00077F59"/>
    <w:rsid w:val="00084C13"/>
    <w:rsid w:val="000970A5"/>
    <w:rsid w:val="000A2305"/>
    <w:rsid w:val="000A61E7"/>
    <w:rsid w:val="000D0262"/>
    <w:rsid w:val="000E0406"/>
    <w:rsid w:val="001040B8"/>
    <w:rsid w:val="0011569A"/>
    <w:rsid w:val="001214B5"/>
    <w:rsid w:val="00125349"/>
    <w:rsid w:val="001278CC"/>
    <w:rsid w:val="001368D7"/>
    <w:rsid w:val="00141340"/>
    <w:rsid w:val="00141612"/>
    <w:rsid w:val="001979DF"/>
    <w:rsid w:val="001A4676"/>
    <w:rsid w:val="001B3D32"/>
    <w:rsid w:val="001D78A1"/>
    <w:rsid w:val="001E1166"/>
    <w:rsid w:val="001E127D"/>
    <w:rsid w:val="002041C7"/>
    <w:rsid w:val="00204C0F"/>
    <w:rsid w:val="00206FCD"/>
    <w:rsid w:val="00223F1D"/>
    <w:rsid w:val="0025138E"/>
    <w:rsid w:val="00252883"/>
    <w:rsid w:val="00286237"/>
    <w:rsid w:val="002B315A"/>
    <w:rsid w:val="002B7269"/>
    <w:rsid w:val="002D23C1"/>
    <w:rsid w:val="002F77AB"/>
    <w:rsid w:val="003213A9"/>
    <w:rsid w:val="003216FB"/>
    <w:rsid w:val="00332981"/>
    <w:rsid w:val="00332BC7"/>
    <w:rsid w:val="00333E0C"/>
    <w:rsid w:val="0034547C"/>
    <w:rsid w:val="00354E11"/>
    <w:rsid w:val="003672E5"/>
    <w:rsid w:val="00396172"/>
    <w:rsid w:val="003B46FB"/>
    <w:rsid w:val="003D61D7"/>
    <w:rsid w:val="003F2B47"/>
    <w:rsid w:val="004126C3"/>
    <w:rsid w:val="00432DDB"/>
    <w:rsid w:val="00437023"/>
    <w:rsid w:val="00443C3F"/>
    <w:rsid w:val="00452685"/>
    <w:rsid w:val="004600F4"/>
    <w:rsid w:val="00465561"/>
    <w:rsid w:val="004701B3"/>
    <w:rsid w:val="00493009"/>
    <w:rsid w:val="004A7C9F"/>
    <w:rsid w:val="004B3673"/>
    <w:rsid w:val="004F24D9"/>
    <w:rsid w:val="005511E1"/>
    <w:rsid w:val="0056772A"/>
    <w:rsid w:val="00582B44"/>
    <w:rsid w:val="005A1043"/>
    <w:rsid w:val="005A1557"/>
    <w:rsid w:val="005A3D6D"/>
    <w:rsid w:val="005B356A"/>
    <w:rsid w:val="005B432F"/>
    <w:rsid w:val="005E5E9A"/>
    <w:rsid w:val="006017DF"/>
    <w:rsid w:val="00601C58"/>
    <w:rsid w:val="00601F70"/>
    <w:rsid w:val="0061213E"/>
    <w:rsid w:val="00614309"/>
    <w:rsid w:val="00615313"/>
    <w:rsid w:val="00623954"/>
    <w:rsid w:val="0063382C"/>
    <w:rsid w:val="00642A8B"/>
    <w:rsid w:val="006B2A1D"/>
    <w:rsid w:val="006D06CF"/>
    <w:rsid w:val="006D0885"/>
    <w:rsid w:val="006D5EC9"/>
    <w:rsid w:val="006E215E"/>
    <w:rsid w:val="006F08AA"/>
    <w:rsid w:val="007075D3"/>
    <w:rsid w:val="00727303"/>
    <w:rsid w:val="0072731A"/>
    <w:rsid w:val="007349CF"/>
    <w:rsid w:val="007670E4"/>
    <w:rsid w:val="00774B5A"/>
    <w:rsid w:val="00783433"/>
    <w:rsid w:val="007A6FBB"/>
    <w:rsid w:val="007C397A"/>
    <w:rsid w:val="007D1B03"/>
    <w:rsid w:val="007F038F"/>
    <w:rsid w:val="007F26DC"/>
    <w:rsid w:val="00805850"/>
    <w:rsid w:val="00811C91"/>
    <w:rsid w:val="00823559"/>
    <w:rsid w:val="00831704"/>
    <w:rsid w:val="008422B9"/>
    <w:rsid w:val="00865737"/>
    <w:rsid w:val="00882B6E"/>
    <w:rsid w:val="008B432C"/>
    <w:rsid w:val="008C3E35"/>
    <w:rsid w:val="008E0DF4"/>
    <w:rsid w:val="00905B9F"/>
    <w:rsid w:val="0091370E"/>
    <w:rsid w:val="00916455"/>
    <w:rsid w:val="009164F5"/>
    <w:rsid w:val="00917310"/>
    <w:rsid w:val="009402D3"/>
    <w:rsid w:val="009B0698"/>
    <w:rsid w:val="009D09A8"/>
    <w:rsid w:val="009D31B4"/>
    <w:rsid w:val="009D6706"/>
    <w:rsid w:val="00A52A65"/>
    <w:rsid w:val="00A52E8F"/>
    <w:rsid w:val="00A62EFC"/>
    <w:rsid w:val="00A93F35"/>
    <w:rsid w:val="00A94E4B"/>
    <w:rsid w:val="00A95F1C"/>
    <w:rsid w:val="00AA444B"/>
    <w:rsid w:val="00AE4C7D"/>
    <w:rsid w:val="00AE557D"/>
    <w:rsid w:val="00AF72E5"/>
    <w:rsid w:val="00B03EDB"/>
    <w:rsid w:val="00B1039B"/>
    <w:rsid w:val="00B171D6"/>
    <w:rsid w:val="00B35961"/>
    <w:rsid w:val="00B35F3B"/>
    <w:rsid w:val="00B53D56"/>
    <w:rsid w:val="00B61D95"/>
    <w:rsid w:val="00B67868"/>
    <w:rsid w:val="00B95543"/>
    <w:rsid w:val="00BA3B13"/>
    <w:rsid w:val="00C21B6E"/>
    <w:rsid w:val="00C50431"/>
    <w:rsid w:val="00C70465"/>
    <w:rsid w:val="00C757E7"/>
    <w:rsid w:val="00C76EE4"/>
    <w:rsid w:val="00CA1709"/>
    <w:rsid w:val="00CC64CD"/>
    <w:rsid w:val="00D1196D"/>
    <w:rsid w:val="00D15BD8"/>
    <w:rsid w:val="00D17118"/>
    <w:rsid w:val="00D20BE5"/>
    <w:rsid w:val="00D2589F"/>
    <w:rsid w:val="00D258D4"/>
    <w:rsid w:val="00D435D3"/>
    <w:rsid w:val="00D458F8"/>
    <w:rsid w:val="00D56CCF"/>
    <w:rsid w:val="00D73A73"/>
    <w:rsid w:val="00DA28B2"/>
    <w:rsid w:val="00DA7AA5"/>
    <w:rsid w:val="00DB730B"/>
    <w:rsid w:val="00DE1DAF"/>
    <w:rsid w:val="00E10E25"/>
    <w:rsid w:val="00E121BF"/>
    <w:rsid w:val="00E66BFF"/>
    <w:rsid w:val="00EA1D44"/>
    <w:rsid w:val="00EA1F4F"/>
    <w:rsid w:val="00EA4FB6"/>
    <w:rsid w:val="00EB55DB"/>
    <w:rsid w:val="00ED0A20"/>
    <w:rsid w:val="00ED651A"/>
    <w:rsid w:val="00EE17D2"/>
    <w:rsid w:val="00EE7832"/>
    <w:rsid w:val="00EF5498"/>
    <w:rsid w:val="00F176CC"/>
    <w:rsid w:val="00F35721"/>
    <w:rsid w:val="00F41A21"/>
    <w:rsid w:val="00F424AF"/>
    <w:rsid w:val="00F71FCA"/>
    <w:rsid w:val="00F91F1B"/>
    <w:rsid w:val="00FA115F"/>
    <w:rsid w:val="00FB1271"/>
    <w:rsid w:val="00FD5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1A2CC"/>
  <w15:chartTrackingRefBased/>
  <w15:docId w15:val="{8F011186-72E9-43EB-AE2C-1575363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B3"/>
    <w:pPr>
      <w:spacing w:after="0" w:line="280" w:lineRule="atLeast"/>
      <w:jc w:val="both"/>
    </w:pPr>
    <w:rPr>
      <w:rFonts w:ascii="Times New Roman" w:eastAsia="Times New Roman" w:hAnsi="Times New Roman" w:cs="Times New Roman"/>
      <w:szCs w:val="16"/>
      <w:lang w:eastAsia="da-DK"/>
    </w:rPr>
  </w:style>
  <w:style w:type="paragraph" w:styleId="Overskrift1">
    <w:name w:val="heading 1"/>
    <w:basedOn w:val="Normal"/>
    <w:next w:val="Normal"/>
    <w:link w:val="Overskrift1Tegn"/>
    <w:uiPriority w:val="9"/>
    <w:qFormat/>
    <w:rsid w:val="00465561"/>
    <w:pPr>
      <w:keepNext/>
      <w:keepLines/>
      <w:numPr>
        <w:numId w:val="2"/>
      </w:numPr>
      <w:pBdr>
        <w:bottom w:val="single" w:sz="4" w:space="1" w:color="auto"/>
      </w:pBdr>
      <w:spacing w:before="240" w:after="240"/>
      <w:outlineLvl w:val="0"/>
    </w:pPr>
    <w:rPr>
      <w:rFonts w:eastAsiaTheme="majorEastAsia" w:cstheme="majorBidi"/>
      <w:b/>
      <w:color w:val="000000" w:themeColor="text1"/>
      <w:sz w:val="28"/>
      <w:szCs w:val="32"/>
    </w:rPr>
  </w:style>
  <w:style w:type="paragraph" w:styleId="Overskrift2">
    <w:name w:val="heading 2"/>
    <w:basedOn w:val="Normal"/>
    <w:next w:val="Normal"/>
    <w:link w:val="Overskrift2Tegn"/>
    <w:uiPriority w:val="9"/>
    <w:unhideWhenUsed/>
    <w:qFormat/>
    <w:rsid w:val="001D78A1"/>
    <w:pPr>
      <w:keepNext/>
      <w:keepLines/>
      <w:numPr>
        <w:ilvl w:val="1"/>
        <w:numId w:val="2"/>
      </w:numPr>
      <w:tabs>
        <w:tab w:val="clear" w:pos="1916"/>
        <w:tab w:val="num" w:pos="1491"/>
      </w:tabs>
      <w:spacing w:before="40"/>
      <w:ind w:left="1491"/>
      <w:outlineLvl w:val="1"/>
    </w:pPr>
    <w:rPr>
      <w:rFonts w:eastAsiaTheme="majorEastAsia" w:cstheme="majorBidi"/>
      <w:b/>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aliases w:val="Title"/>
    <w:basedOn w:val="Normal"/>
    <w:next w:val="Normal"/>
    <w:link w:val="TitelTegn"/>
    <w:uiPriority w:val="10"/>
    <w:qFormat/>
    <w:rsid w:val="004701B3"/>
    <w:pPr>
      <w:spacing w:after="360" w:line="600" w:lineRule="atLeast"/>
      <w:ind w:left="567" w:right="567"/>
      <w:contextualSpacing/>
      <w:jc w:val="center"/>
    </w:pPr>
    <w:rPr>
      <w:rFonts w:ascii="Segoe UI" w:eastAsiaTheme="majorEastAsia" w:hAnsi="Segoe UI" w:cstheme="majorBidi"/>
      <w:b/>
      <w:spacing w:val="-10"/>
      <w:kern w:val="28"/>
      <w:sz w:val="52"/>
      <w:szCs w:val="52"/>
      <w:lang w:eastAsia="en-US"/>
    </w:rPr>
  </w:style>
  <w:style w:type="character" w:customStyle="1" w:styleId="TitelTegn">
    <w:name w:val="Titel Tegn"/>
    <w:aliases w:val="Title Tegn"/>
    <w:basedOn w:val="Standardskrifttypeiafsnit"/>
    <w:link w:val="Titel"/>
    <w:uiPriority w:val="10"/>
    <w:rsid w:val="004701B3"/>
    <w:rPr>
      <w:rFonts w:ascii="Segoe UI" w:eastAsiaTheme="majorEastAsia" w:hAnsi="Segoe UI" w:cstheme="majorBidi"/>
      <w:b/>
      <w:spacing w:val="-10"/>
      <w:kern w:val="28"/>
      <w:sz w:val="52"/>
      <w:szCs w:val="52"/>
    </w:rPr>
  </w:style>
  <w:style w:type="character" w:customStyle="1" w:styleId="Overskrift1Tegn">
    <w:name w:val="Overskrift 1 Tegn"/>
    <w:basedOn w:val="Standardskrifttypeiafsnit"/>
    <w:link w:val="Overskrift1"/>
    <w:uiPriority w:val="9"/>
    <w:rsid w:val="00465561"/>
    <w:rPr>
      <w:rFonts w:ascii="Times New Roman" w:eastAsiaTheme="majorEastAsia" w:hAnsi="Times New Roman" w:cstheme="majorBidi"/>
      <w:b/>
      <w:color w:val="000000" w:themeColor="text1"/>
      <w:sz w:val="28"/>
      <w:szCs w:val="32"/>
      <w:lang w:eastAsia="da-DK"/>
    </w:rPr>
  </w:style>
  <w:style w:type="character" w:customStyle="1" w:styleId="Overskrift2Tegn">
    <w:name w:val="Overskrift 2 Tegn"/>
    <w:basedOn w:val="Standardskrifttypeiafsnit"/>
    <w:link w:val="Overskrift2"/>
    <w:uiPriority w:val="9"/>
    <w:rsid w:val="001D78A1"/>
    <w:rPr>
      <w:rFonts w:ascii="Times New Roman" w:eastAsiaTheme="majorEastAsia" w:hAnsi="Times New Roman" w:cstheme="majorBidi"/>
      <w:b/>
      <w:sz w:val="26"/>
      <w:szCs w:val="26"/>
      <w:lang w:eastAsia="da-DK"/>
    </w:rPr>
  </w:style>
  <w:style w:type="paragraph" w:styleId="Listeafsnit">
    <w:name w:val="List Paragraph"/>
    <w:aliases w:val="Bullet (use only this bullet),Margentekst,MargentekstCxSpLast,Bullets"/>
    <w:basedOn w:val="Normal"/>
    <w:link w:val="ListeafsnitTegn"/>
    <w:uiPriority w:val="34"/>
    <w:qFormat/>
    <w:rsid w:val="001D78A1"/>
    <w:pPr>
      <w:numPr>
        <w:numId w:val="3"/>
      </w:numPr>
      <w:contextualSpacing/>
    </w:pPr>
  </w:style>
  <w:style w:type="character" w:styleId="Kommentarhenvisning">
    <w:name w:val="annotation reference"/>
    <w:basedOn w:val="Standardskrifttypeiafsnit"/>
    <w:uiPriority w:val="99"/>
    <w:semiHidden/>
    <w:unhideWhenUsed/>
    <w:rsid w:val="001D78A1"/>
    <w:rPr>
      <w:sz w:val="16"/>
      <w:szCs w:val="16"/>
    </w:rPr>
  </w:style>
  <w:style w:type="paragraph" w:styleId="Kommentartekst">
    <w:name w:val="annotation text"/>
    <w:basedOn w:val="Normal"/>
    <w:link w:val="KommentartekstTegn"/>
    <w:uiPriority w:val="99"/>
    <w:unhideWhenUsed/>
    <w:rsid w:val="001D78A1"/>
    <w:pPr>
      <w:spacing w:line="240" w:lineRule="auto"/>
    </w:pPr>
    <w:rPr>
      <w:sz w:val="20"/>
      <w:szCs w:val="20"/>
    </w:rPr>
  </w:style>
  <w:style w:type="character" w:customStyle="1" w:styleId="KommentartekstTegn">
    <w:name w:val="Kommentartekst Tegn"/>
    <w:basedOn w:val="Standardskrifttypeiafsnit"/>
    <w:link w:val="Kommentartekst"/>
    <w:uiPriority w:val="99"/>
    <w:rsid w:val="001D78A1"/>
    <w:rPr>
      <w:rFonts w:ascii="Times New Roman" w:eastAsia="Times New Roman" w:hAnsi="Times New Roman" w:cs="Times New Roman"/>
      <w:sz w:val="20"/>
      <w:szCs w:val="20"/>
      <w:lang w:eastAsia="da-DK"/>
    </w:rPr>
  </w:style>
  <w:style w:type="character" w:customStyle="1" w:styleId="ListeafsnitTegn">
    <w:name w:val="Listeafsnit Tegn"/>
    <w:aliases w:val="Bullet (use only this bullet) Tegn,Margentekst Tegn,MargentekstCxSpLast Tegn,Bullets Tegn"/>
    <w:basedOn w:val="Standardskrifttypeiafsnit"/>
    <w:link w:val="Listeafsnit"/>
    <w:uiPriority w:val="34"/>
    <w:rsid w:val="001D78A1"/>
    <w:rPr>
      <w:rFonts w:ascii="Times New Roman" w:eastAsia="Times New Roman" w:hAnsi="Times New Roman" w:cs="Times New Roman"/>
      <w:szCs w:val="16"/>
      <w:lang w:eastAsia="da-DK"/>
    </w:rPr>
  </w:style>
  <w:style w:type="character" w:styleId="Svagfremhvning">
    <w:name w:val="Subtle Emphasis"/>
    <w:basedOn w:val="Standardskrifttypeiafsnit"/>
    <w:uiPriority w:val="19"/>
    <w:qFormat/>
    <w:rsid w:val="004A7C9F"/>
    <w:rPr>
      <w:i/>
      <w:iCs/>
      <w:color w:val="FF0000"/>
    </w:rPr>
  </w:style>
  <w:style w:type="paragraph" w:customStyle="1" w:styleId="Opstillingmedbullet">
    <w:name w:val="Opstilling med bullet"/>
    <w:basedOn w:val="Normal"/>
    <w:qFormat/>
    <w:rsid w:val="0034547C"/>
    <w:pPr>
      <w:numPr>
        <w:numId w:val="7"/>
      </w:numPr>
      <w:spacing w:after="200" w:line="240" w:lineRule="auto"/>
      <w:ind w:left="357" w:hanging="357"/>
      <w:contextualSpacing/>
    </w:pPr>
    <w:rPr>
      <w:rFonts w:ascii="Constantia" w:hAnsi="Constantia"/>
      <w:color w:val="000000" w:themeColor="text1"/>
      <w:sz w:val="19"/>
      <w:szCs w:val="20"/>
    </w:rPr>
  </w:style>
  <w:style w:type="character" w:styleId="Omtal">
    <w:name w:val="Mention"/>
    <w:basedOn w:val="Standardskrifttypeiafsnit"/>
    <w:uiPriority w:val="99"/>
    <w:unhideWhenUsed/>
    <w:rsid w:val="0034547C"/>
    <w:rPr>
      <w:color w:val="2B579A"/>
      <w:shd w:val="clear" w:color="auto" w:fill="E1DFDD"/>
    </w:rPr>
  </w:style>
  <w:style w:type="paragraph" w:styleId="Korrektur">
    <w:name w:val="Revision"/>
    <w:hidden/>
    <w:uiPriority w:val="99"/>
    <w:semiHidden/>
    <w:rsid w:val="00E121BF"/>
    <w:pPr>
      <w:spacing w:after="0" w:line="240" w:lineRule="auto"/>
    </w:pPr>
    <w:rPr>
      <w:rFonts w:ascii="Times New Roman" w:eastAsia="Times New Roman" w:hAnsi="Times New Roman" w:cs="Times New Roman"/>
      <w:szCs w:val="16"/>
      <w:lang w:eastAsia="da-DK"/>
    </w:rPr>
  </w:style>
  <w:style w:type="paragraph" w:styleId="Overskrift">
    <w:name w:val="TOC Heading"/>
    <w:basedOn w:val="Overskrift1"/>
    <w:next w:val="Normal"/>
    <w:uiPriority w:val="39"/>
    <w:unhideWhenUsed/>
    <w:qFormat/>
    <w:rsid w:val="00332981"/>
    <w:pPr>
      <w:numPr>
        <w:numId w:val="0"/>
      </w:numPr>
      <w:pBdr>
        <w:bottom w:val="none" w:sz="0" w:space="0" w:color="auto"/>
      </w:pBdr>
      <w:spacing w:after="0" w:line="259" w:lineRule="auto"/>
      <w:jc w:val="left"/>
      <w:outlineLvl w:val="9"/>
    </w:pPr>
    <w:rPr>
      <w:rFonts w:asciiTheme="majorHAnsi" w:hAnsiTheme="majorHAnsi"/>
      <w:b w:val="0"/>
      <w:color w:val="2F5496" w:themeColor="accent1" w:themeShade="BF"/>
      <w:sz w:val="32"/>
    </w:rPr>
  </w:style>
  <w:style w:type="paragraph" w:styleId="Indholdsfortegnelse1">
    <w:name w:val="toc 1"/>
    <w:basedOn w:val="Normal"/>
    <w:next w:val="Normal"/>
    <w:autoRedefine/>
    <w:uiPriority w:val="39"/>
    <w:unhideWhenUsed/>
    <w:rsid w:val="00332981"/>
    <w:pPr>
      <w:spacing w:after="100"/>
    </w:pPr>
  </w:style>
  <w:style w:type="paragraph" w:styleId="Indholdsfortegnelse2">
    <w:name w:val="toc 2"/>
    <w:basedOn w:val="Normal"/>
    <w:next w:val="Normal"/>
    <w:autoRedefine/>
    <w:uiPriority w:val="39"/>
    <w:unhideWhenUsed/>
    <w:rsid w:val="00332981"/>
    <w:pPr>
      <w:spacing w:after="100"/>
      <w:ind w:left="220"/>
    </w:pPr>
  </w:style>
  <w:style w:type="character" w:styleId="Hyperlink">
    <w:name w:val="Hyperlink"/>
    <w:basedOn w:val="Standardskrifttypeiafsnit"/>
    <w:uiPriority w:val="99"/>
    <w:unhideWhenUsed/>
    <w:rsid w:val="00332981"/>
    <w:rPr>
      <w:color w:val="0563C1" w:themeColor="hyperlink"/>
      <w:u w:val="single"/>
    </w:rPr>
  </w:style>
  <w:style w:type="paragraph" w:styleId="Sidehoved">
    <w:name w:val="header"/>
    <w:basedOn w:val="Normal"/>
    <w:link w:val="SidehovedTegn"/>
    <w:uiPriority w:val="99"/>
    <w:unhideWhenUsed/>
    <w:rsid w:val="003329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32981"/>
    <w:rPr>
      <w:rFonts w:ascii="Times New Roman" w:eastAsia="Times New Roman" w:hAnsi="Times New Roman" w:cs="Times New Roman"/>
      <w:szCs w:val="16"/>
      <w:lang w:eastAsia="da-DK"/>
    </w:rPr>
  </w:style>
  <w:style w:type="paragraph" w:styleId="Sidefod">
    <w:name w:val="footer"/>
    <w:basedOn w:val="Normal"/>
    <w:link w:val="SidefodTegn"/>
    <w:uiPriority w:val="99"/>
    <w:unhideWhenUsed/>
    <w:rsid w:val="003329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332981"/>
    <w:rPr>
      <w:rFonts w:ascii="Times New Roman" w:eastAsia="Times New Roman" w:hAnsi="Times New Roman" w:cs="Times New Roman"/>
      <w:szCs w:val="16"/>
      <w:lang w:eastAsia="da-DK"/>
    </w:rPr>
  </w:style>
  <w:style w:type="paragraph" w:styleId="Kommentaremne">
    <w:name w:val="annotation subject"/>
    <w:basedOn w:val="Kommentartekst"/>
    <w:next w:val="Kommentartekst"/>
    <w:link w:val="KommentaremneTegn"/>
    <w:uiPriority w:val="99"/>
    <w:semiHidden/>
    <w:unhideWhenUsed/>
    <w:rsid w:val="003213A9"/>
    <w:rPr>
      <w:b/>
      <w:bCs/>
    </w:rPr>
  </w:style>
  <w:style w:type="character" w:customStyle="1" w:styleId="KommentaremneTegn">
    <w:name w:val="Kommentaremne Tegn"/>
    <w:basedOn w:val="KommentartekstTegn"/>
    <w:link w:val="Kommentaremne"/>
    <w:uiPriority w:val="99"/>
    <w:semiHidden/>
    <w:rsid w:val="003213A9"/>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3213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13A9"/>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ea61e0-01d5-4e08-8479-31b5d542f7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45B57A5203349BDE29C87E0EFE65B" ma:contentTypeVersion="14" ma:contentTypeDescription="Create a new document." ma:contentTypeScope="" ma:versionID="6709372baabbb87dbfbf25d17570af66">
  <xsd:schema xmlns:xsd="http://www.w3.org/2001/XMLSchema" xmlns:xs="http://www.w3.org/2001/XMLSchema" xmlns:p="http://schemas.microsoft.com/office/2006/metadata/properties" xmlns:ns3="d7ea61e0-01d5-4e08-8479-31b5d542f7c0" xmlns:ns4="9c8b30f7-8e16-4836-a067-b6321cadbc9a" targetNamespace="http://schemas.microsoft.com/office/2006/metadata/properties" ma:root="true" ma:fieldsID="caec213ddd7b68c7932f5712d450f0bd" ns3:_="" ns4:_="">
    <xsd:import namespace="d7ea61e0-01d5-4e08-8479-31b5d542f7c0"/>
    <xsd:import namespace="9c8b30f7-8e16-4836-a067-b6321cadbc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a61e0-01d5-4e08-8479-31b5d542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b30f7-8e16-4836-a067-b6321cadb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A31F-DDD0-4E0E-9D08-8FD9EF13B357}">
  <ds:schemaRefs>
    <ds:schemaRef ds:uri="http://schemas.microsoft.com/office/2006/metadata/properties"/>
    <ds:schemaRef ds:uri="http://schemas.microsoft.com/office/infopath/2007/PartnerControls"/>
    <ds:schemaRef ds:uri="d7ea61e0-01d5-4e08-8479-31b5d542f7c0"/>
  </ds:schemaRefs>
</ds:datastoreItem>
</file>

<file path=customXml/itemProps2.xml><?xml version="1.0" encoding="utf-8"?>
<ds:datastoreItem xmlns:ds="http://schemas.openxmlformats.org/officeDocument/2006/customXml" ds:itemID="{9371C676-4936-4C67-B151-B0EAFA07850F}">
  <ds:schemaRefs>
    <ds:schemaRef ds:uri="http://schemas.microsoft.com/sharepoint/v3/contenttype/forms"/>
  </ds:schemaRefs>
</ds:datastoreItem>
</file>

<file path=customXml/itemProps3.xml><?xml version="1.0" encoding="utf-8"?>
<ds:datastoreItem xmlns:ds="http://schemas.openxmlformats.org/officeDocument/2006/customXml" ds:itemID="{C12F10D8-658E-4348-A9F0-5D5B911A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a61e0-01d5-4e08-8479-31b5d542f7c0"/>
    <ds:schemaRef ds:uri="9c8b30f7-8e16-4836-a067-b6321cadb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4CD16-288D-4A07-875B-3DD538C0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3658</Words>
  <Characters>22316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Juul Wagner (RJWA)</dc:creator>
  <cp:keywords/>
  <dc:description/>
  <cp:lastModifiedBy>Rasmus Juul Wagner (RJWA)</cp:lastModifiedBy>
  <cp:revision>40</cp:revision>
  <dcterms:created xsi:type="dcterms:W3CDTF">2024-03-20T13:15:00Z</dcterms:created>
  <dcterms:modified xsi:type="dcterms:W3CDTF">2024-03-20T17:55:00Z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0x0101004AF45B57A5203349BDE29C87E0EFE65B</vt:lpwstr>
  </property>
</Properties>
</file>