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2E7F8211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344E40">
        <w:rPr>
          <w:sz w:val="20"/>
          <w:szCs w:val="20"/>
          <w:lang w:val="da-DK"/>
        </w:rPr>
        <w:t>Tønder</w:t>
      </w:r>
      <w:r>
        <w:rPr>
          <w:sz w:val="20"/>
          <w:szCs w:val="20"/>
          <w:lang w:val="da-DK"/>
        </w:rPr>
        <w:t xml:space="preserve"> Kommunes udbud af en pengeinstitutaftale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 xml:space="preserve">de i udbudsmaterialet nævnte udelukkelsesgrunde (jf. udbudsmaterialets pkt. </w:t>
      </w:r>
      <w:r w:rsidR="00B12A04">
        <w:rPr>
          <w:sz w:val="20"/>
          <w:szCs w:val="20"/>
          <w:lang w:val="da-DK"/>
        </w:rPr>
        <w:t>5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41A5414C" w14:textId="6BD96D0F" w:rsidR="00344E40" w:rsidRDefault="00344E40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              </w:t>
      </w:r>
      <w:r w:rsidR="009E1088"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 w:rsidR="009E1088">
        <w:rPr>
          <w:sz w:val="20"/>
          <w:szCs w:val="20"/>
          <w:lang w:val="da-DK"/>
        </w:rPr>
        <w:t xml:space="preserve">r omfattet af en eller flere af nedennævnte </w:t>
      </w:r>
      <w:r>
        <w:rPr>
          <w:sz w:val="20"/>
          <w:szCs w:val="20"/>
          <w:lang w:val="da-DK"/>
        </w:rPr>
        <w:t xml:space="preserve">                    </w:t>
      </w:r>
    </w:p>
    <w:p w14:paraId="5B864059" w14:textId="7BC6EAB4" w:rsidR="00D751B8" w:rsidRDefault="009E1088" w:rsidP="00344E40">
      <w:pPr>
        <w:spacing w:after="0" w:line="200" w:lineRule="exact"/>
        <w:ind w:left="72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9770E4E" w14:textId="77777777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</w:p>
          <w:p w14:paraId="6CA3A873" w14:textId="78FDB247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370EA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3</w:t>
            </w:r>
            <w:bookmarkStart w:id="0" w:name="_GoBack"/>
            <w:bookmarkEnd w:id="0"/>
            <w:r w:rsidR="00E64783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.december 2019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(»self-cleaning«))?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sine forpligtelser vedrø-rende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65269EA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»self-cleaning«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Pr="003150C5" w:rsidRDefault="00D751B8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666DF0FB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på anmodning </w:t>
      </w:r>
      <w:r w:rsidR="00344E40">
        <w:rPr>
          <w:rFonts w:ascii="Times New Roman" w:eastAsia="Times New Roman" w:hAnsi="Times New Roman" w:cs="Times New Roman"/>
          <w:sz w:val="19"/>
          <w:szCs w:val="19"/>
          <w:lang w:val="da-DK"/>
        </w:rPr>
        <w:t>Tønder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Kommune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C4A7" w14:textId="77777777" w:rsidR="009A63CD" w:rsidRDefault="009A63CD">
      <w:pPr>
        <w:spacing w:after="0" w:line="240" w:lineRule="auto"/>
      </w:pPr>
      <w:r>
        <w:separator/>
      </w:r>
    </w:p>
  </w:endnote>
  <w:endnote w:type="continuationSeparator" w:id="0">
    <w:p w14:paraId="59B2C4AF" w14:textId="77777777" w:rsidR="009A63CD" w:rsidRDefault="009A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FCC8" w14:textId="77777777" w:rsidR="009A63CD" w:rsidRDefault="009A63CD">
      <w:pPr>
        <w:spacing w:after="0" w:line="240" w:lineRule="auto"/>
      </w:pPr>
      <w:r>
        <w:separator/>
      </w:r>
    </w:p>
  </w:footnote>
  <w:footnote w:type="continuationSeparator" w:id="0">
    <w:p w14:paraId="1E28EBFC" w14:textId="77777777" w:rsidR="009A63CD" w:rsidRDefault="009A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4096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B8"/>
    <w:rsid w:val="0001575E"/>
    <w:rsid w:val="000C616B"/>
    <w:rsid w:val="001019BF"/>
    <w:rsid w:val="001307D4"/>
    <w:rsid w:val="00145F1B"/>
    <w:rsid w:val="002230A4"/>
    <w:rsid w:val="00250487"/>
    <w:rsid w:val="00297EDA"/>
    <w:rsid w:val="002A7A4B"/>
    <w:rsid w:val="002E098C"/>
    <w:rsid w:val="002E0E07"/>
    <w:rsid w:val="002E6AD6"/>
    <w:rsid w:val="0030505C"/>
    <w:rsid w:val="003150C5"/>
    <w:rsid w:val="00344E40"/>
    <w:rsid w:val="00370EA8"/>
    <w:rsid w:val="00380FD7"/>
    <w:rsid w:val="00393131"/>
    <w:rsid w:val="003932BE"/>
    <w:rsid w:val="003A7FD4"/>
    <w:rsid w:val="003B0972"/>
    <w:rsid w:val="003B1E19"/>
    <w:rsid w:val="003B3040"/>
    <w:rsid w:val="003D45DD"/>
    <w:rsid w:val="003D5310"/>
    <w:rsid w:val="003D7C78"/>
    <w:rsid w:val="00424449"/>
    <w:rsid w:val="00437D24"/>
    <w:rsid w:val="00451810"/>
    <w:rsid w:val="00465A4E"/>
    <w:rsid w:val="00485F46"/>
    <w:rsid w:val="00494663"/>
    <w:rsid w:val="004C2971"/>
    <w:rsid w:val="004F2C46"/>
    <w:rsid w:val="00533820"/>
    <w:rsid w:val="00535CF7"/>
    <w:rsid w:val="005A650B"/>
    <w:rsid w:val="00607638"/>
    <w:rsid w:val="006253F7"/>
    <w:rsid w:val="0068486B"/>
    <w:rsid w:val="006947E4"/>
    <w:rsid w:val="006E276B"/>
    <w:rsid w:val="007005CC"/>
    <w:rsid w:val="00706B42"/>
    <w:rsid w:val="00713023"/>
    <w:rsid w:val="00754039"/>
    <w:rsid w:val="00754C12"/>
    <w:rsid w:val="0075575B"/>
    <w:rsid w:val="00757A07"/>
    <w:rsid w:val="00760D7C"/>
    <w:rsid w:val="007D0F63"/>
    <w:rsid w:val="0085734A"/>
    <w:rsid w:val="008801CA"/>
    <w:rsid w:val="00895368"/>
    <w:rsid w:val="008C7AFD"/>
    <w:rsid w:val="008E444E"/>
    <w:rsid w:val="00931816"/>
    <w:rsid w:val="009434BD"/>
    <w:rsid w:val="00985452"/>
    <w:rsid w:val="009A4070"/>
    <w:rsid w:val="009A63CD"/>
    <w:rsid w:val="009E1088"/>
    <w:rsid w:val="009E3F5B"/>
    <w:rsid w:val="009E5B7E"/>
    <w:rsid w:val="00A02C22"/>
    <w:rsid w:val="00A214E5"/>
    <w:rsid w:val="00A57200"/>
    <w:rsid w:val="00A60F44"/>
    <w:rsid w:val="00AF140C"/>
    <w:rsid w:val="00B12A04"/>
    <w:rsid w:val="00B20D64"/>
    <w:rsid w:val="00B3003F"/>
    <w:rsid w:val="00B363D5"/>
    <w:rsid w:val="00B43835"/>
    <w:rsid w:val="00B53C6D"/>
    <w:rsid w:val="00B72B49"/>
    <w:rsid w:val="00BB25D8"/>
    <w:rsid w:val="00C23944"/>
    <w:rsid w:val="00C647CC"/>
    <w:rsid w:val="00C910F8"/>
    <w:rsid w:val="00CD491A"/>
    <w:rsid w:val="00CF2E15"/>
    <w:rsid w:val="00D1422F"/>
    <w:rsid w:val="00D40F79"/>
    <w:rsid w:val="00D751B8"/>
    <w:rsid w:val="00D8152C"/>
    <w:rsid w:val="00D9286F"/>
    <w:rsid w:val="00DF4AEE"/>
    <w:rsid w:val="00E012F9"/>
    <w:rsid w:val="00E26425"/>
    <w:rsid w:val="00E417F6"/>
    <w:rsid w:val="00E64783"/>
    <w:rsid w:val="00F2718C"/>
    <w:rsid w:val="00F43AF9"/>
    <w:rsid w:val="00F87C91"/>
    <w:rsid w:val="00FB3AB2"/>
    <w:rsid w:val="00FB3DD2"/>
    <w:rsid w:val="00FE3CA7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EA5DD-5A67-4F52-9031-7F168018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Lundgreens Capital - National erklæring om udlukkelsesgrunde</vt:lpstr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Lundgreens Capital - National erklæring om udlukkelsesgrunde</dc:title>
  <dc:creator>Lundgreens Capital</dc:creator>
  <cp:lastModifiedBy>Peter Lundgreen</cp:lastModifiedBy>
  <cp:revision>3</cp:revision>
  <cp:lastPrinted>2016-02-01T16:12:00Z</cp:lastPrinted>
  <dcterms:created xsi:type="dcterms:W3CDTF">2019-10-29T08:21:00Z</dcterms:created>
  <dcterms:modified xsi:type="dcterms:W3CDTF">2019-10-29T08:22:00Z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