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6E" w:rsidRPr="00690199" w:rsidRDefault="00E7476E" w:rsidP="00E7476E">
      <w:pPr>
        <w:rPr>
          <w:rFonts w:asciiTheme="majorHAnsi" w:hAnsiTheme="majorHAnsi"/>
          <w:szCs w:val="22"/>
        </w:rPr>
      </w:pPr>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FD5BF9" w:rsidP="00E119A0">
      <w:pPr>
        <w:pStyle w:val="Default"/>
        <w:jc w:val="center"/>
        <w:rPr>
          <w:rFonts w:asciiTheme="majorHAnsi" w:hAnsiTheme="majorHAnsi"/>
          <w:sz w:val="20"/>
          <w:szCs w:val="20"/>
          <w:lang w:val="en-US"/>
        </w:rPr>
      </w:pPr>
      <w:r w:rsidRPr="00690199">
        <w:rPr>
          <w:rFonts w:asciiTheme="majorHAnsi" w:hAnsiTheme="majorHAnsi"/>
          <w:sz w:val="20"/>
          <w:szCs w:val="20"/>
          <w:lang w:val="en-US"/>
        </w:rPr>
        <w:t xml:space="preserve">Questions and answers to tender procedure </w:t>
      </w:r>
      <w:r w:rsidR="00143F4A" w:rsidRPr="00690199">
        <w:rPr>
          <w:rFonts w:asciiTheme="majorHAnsi" w:hAnsiTheme="majorHAnsi"/>
          <w:bCs/>
          <w:sz w:val="20"/>
          <w:szCs w:val="20"/>
          <w:lang w:val="en-US"/>
        </w:rPr>
        <w:t>The Road towards Carbon Neutrality in the different Nordic Countries</w:t>
      </w:r>
      <w:r w:rsidR="00143F4A" w:rsidRPr="00690199">
        <w:rPr>
          <w:rFonts w:asciiTheme="majorHAnsi" w:hAnsiTheme="majorHAnsi"/>
          <w:b/>
          <w:bCs/>
          <w:sz w:val="20"/>
          <w:szCs w:val="20"/>
          <w:lang w:val="en-US"/>
        </w:rPr>
        <w:t xml:space="preserve"> </w:t>
      </w:r>
      <w:r w:rsidR="00690199">
        <w:rPr>
          <w:rFonts w:asciiTheme="majorHAnsi" w:hAnsiTheme="majorHAnsi"/>
          <w:b/>
          <w:bCs/>
          <w:sz w:val="20"/>
          <w:szCs w:val="20"/>
          <w:lang w:val="en-US"/>
        </w:rPr>
        <w:br/>
      </w:r>
      <w:r w:rsidR="00E119A0">
        <w:rPr>
          <w:rFonts w:asciiTheme="majorHAnsi" w:hAnsiTheme="majorHAnsi"/>
          <w:sz w:val="20"/>
          <w:szCs w:val="20"/>
          <w:lang w:val="en-US"/>
        </w:rPr>
        <w:t>(</w:t>
      </w:r>
      <w:r w:rsidR="00F52F67">
        <w:rPr>
          <w:rFonts w:asciiTheme="majorHAnsi" w:hAnsiTheme="majorHAnsi"/>
          <w:sz w:val="20"/>
          <w:szCs w:val="20"/>
          <w:lang w:val="en-US"/>
        </w:rPr>
        <w:t xml:space="preserve">invitation to submit a tender was </w:t>
      </w:r>
      <w:r w:rsidR="00E119A0">
        <w:rPr>
          <w:rFonts w:asciiTheme="majorHAnsi" w:hAnsiTheme="majorHAnsi"/>
          <w:sz w:val="20"/>
          <w:szCs w:val="20"/>
          <w:lang w:val="en-US"/>
        </w:rPr>
        <w:t xml:space="preserve">published </w:t>
      </w:r>
      <w:r w:rsidR="00F52F67">
        <w:rPr>
          <w:rFonts w:asciiTheme="majorHAnsi" w:hAnsiTheme="majorHAnsi"/>
          <w:sz w:val="20"/>
          <w:szCs w:val="20"/>
          <w:lang w:val="en-US"/>
        </w:rPr>
        <w:t>at www.udbud.dk 31.10</w:t>
      </w:r>
      <w:r w:rsidR="00E119A0">
        <w:rPr>
          <w:rFonts w:asciiTheme="majorHAnsi" w:hAnsiTheme="majorHAnsi"/>
          <w:sz w:val="20"/>
          <w:szCs w:val="20"/>
          <w:lang w:val="en-US"/>
        </w:rPr>
        <w:t>.2019)</w:t>
      </w:r>
    </w:p>
    <w:tbl>
      <w:tblPr>
        <w:tblStyle w:val="Tabel-Gitter"/>
        <w:tblpPr w:leftFromText="141" w:rightFromText="141" w:vertAnchor="page" w:horzAnchor="margin" w:tblpY="2601"/>
        <w:tblW w:w="10456" w:type="dxa"/>
        <w:tblLook w:val="04A0" w:firstRow="1" w:lastRow="0" w:firstColumn="1" w:lastColumn="0" w:noHBand="0" w:noVBand="1"/>
      </w:tblPr>
      <w:tblGrid>
        <w:gridCol w:w="1017"/>
        <w:gridCol w:w="1164"/>
        <w:gridCol w:w="4469"/>
        <w:gridCol w:w="3806"/>
      </w:tblGrid>
      <w:tr w:rsidR="00E119A0" w:rsidRPr="00690199" w:rsidTr="00E119A0">
        <w:tc>
          <w:tcPr>
            <w:tcW w:w="1017" w:type="dxa"/>
          </w:tcPr>
          <w:p w:rsidR="00E119A0" w:rsidRPr="00E119A0" w:rsidRDefault="00E119A0" w:rsidP="00E119A0">
            <w:pPr>
              <w:rPr>
                <w:rFonts w:asciiTheme="majorHAnsi" w:hAnsiTheme="majorHAnsi"/>
              </w:rPr>
            </w:pPr>
            <w:proofErr w:type="spellStart"/>
            <w:r w:rsidRPr="00E119A0">
              <w:rPr>
                <w:rFonts w:asciiTheme="majorHAnsi" w:hAnsiTheme="majorHAnsi"/>
              </w:rPr>
              <w:t>Question</w:t>
            </w:r>
            <w:proofErr w:type="spellEnd"/>
            <w:r w:rsidRPr="00E119A0">
              <w:rPr>
                <w:rFonts w:asciiTheme="majorHAnsi" w:hAnsiTheme="majorHAnsi"/>
              </w:rPr>
              <w:t xml:space="preserve"> no.</w:t>
            </w:r>
          </w:p>
        </w:tc>
        <w:tc>
          <w:tcPr>
            <w:tcW w:w="1121" w:type="dxa"/>
          </w:tcPr>
          <w:p w:rsidR="00E119A0" w:rsidRPr="00E119A0" w:rsidRDefault="00E119A0" w:rsidP="00E119A0">
            <w:pPr>
              <w:rPr>
                <w:rFonts w:asciiTheme="majorHAnsi" w:hAnsiTheme="majorHAnsi"/>
              </w:rPr>
            </w:pPr>
            <w:r w:rsidRPr="00E119A0">
              <w:rPr>
                <w:rFonts w:asciiTheme="majorHAnsi" w:hAnsiTheme="majorHAnsi"/>
              </w:rPr>
              <w:t>Date</w:t>
            </w:r>
          </w:p>
        </w:tc>
        <w:tc>
          <w:tcPr>
            <w:tcW w:w="4491" w:type="dxa"/>
          </w:tcPr>
          <w:p w:rsidR="00E119A0" w:rsidRPr="00E119A0" w:rsidRDefault="00E119A0" w:rsidP="00E119A0">
            <w:pPr>
              <w:rPr>
                <w:rFonts w:asciiTheme="majorHAnsi" w:hAnsiTheme="majorHAnsi"/>
              </w:rPr>
            </w:pPr>
            <w:proofErr w:type="spellStart"/>
            <w:r w:rsidRPr="00E119A0">
              <w:rPr>
                <w:rFonts w:asciiTheme="majorHAnsi" w:hAnsiTheme="majorHAnsi"/>
              </w:rPr>
              <w:t>Question</w:t>
            </w:r>
            <w:proofErr w:type="spellEnd"/>
            <w:r w:rsidRPr="00E119A0">
              <w:rPr>
                <w:rFonts w:asciiTheme="majorHAnsi" w:hAnsiTheme="majorHAnsi"/>
              </w:rPr>
              <w:t xml:space="preserve"> (</w:t>
            </w:r>
            <w:proofErr w:type="spellStart"/>
            <w:r w:rsidRPr="00E119A0">
              <w:rPr>
                <w:rFonts w:asciiTheme="majorHAnsi" w:hAnsiTheme="majorHAnsi"/>
              </w:rPr>
              <w:t>anonymized</w:t>
            </w:r>
            <w:proofErr w:type="spellEnd"/>
            <w:r w:rsidRPr="00E119A0">
              <w:rPr>
                <w:rFonts w:asciiTheme="majorHAnsi" w:hAnsiTheme="majorHAnsi"/>
              </w:rPr>
              <w:t>)</w:t>
            </w:r>
          </w:p>
        </w:tc>
        <w:tc>
          <w:tcPr>
            <w:tcW w:w="3827" w:type="dxa"/>
          </w:tcPr>
          <w:p w:rsidR="00E119A0" w:rsidRPr="00E119A0" w:rsidRDefault="00E119A0" w:rsidP="00E119A0">
            <w:pPr>
              <w:rPr>
                <w:rFonts w:asciiTheme="majorHAnsi" w:hAnsiTheme="majorHAnsi"/>
              </w:rPr>
            </w:pPr>
            <w:proofErr w:type="spellStart"/>
            <w:r w:rsidRPr="00E119A0">
              <w:rPr>
                <w:rFonts w:asciiTheme="majorHAnsi" w:hAnsiTheme="majorHAnsi"/>
              </w:rPr>
              <w:t>Answer</w:t>
            </w:r>
            <w:proofErr w:type="spellEnd"/>
          </w:p>
        </w:tc>
      </w:tr>
      <w:tr w:rsidR="00E119A0" w:rsidRPr="003230BE" w:rsidTr="00E119A0">
        <w:tc>
          <w:tcPr>
            <w:tcW w:w="1017" w:type="dxa"/>
          </w:tcPr>
          <w:p w:rsidR="00E119A0" w:rsidRPr="00E119A0" w:rsidRDefault="00E119A0" w:rsidP="00E119A0">
            <w:pPr>
              <w:rPr>
                <w:rFonts w:asciiTheme="majorHAnsi" w:hAnsiTheme="majorHAnsi"/>
              </w:rPr>
            </w:pPr>
            <w:r w:rsidRPr="00E119A0">
              <w:rPr>
                <w:rFonts w:asciiTheme="majorHAnsi" w:hAnsiTheme="majorHAnsi"/>
              </w:rPr>
              <w:t>1</w:t>
            </w:r>
          </w:p>
        </w:tc>
        <w:tc>
          <w:tcPr>
            <w:tcW w:w="1121" w:type="dxa"/>
          </w:tcPr>
          <w:p w:rsidR="00E119A0" w:rsidRPr="00E119A0" w:rsidRDefault="00E119A0" w:rsidP="00E119A0">
            <w:pPr>
              <w:rPr>
                <w:rFonts w:asciiTheme="majorHAnsi" w:hAnsiTheme="majorHAnsi"/>
              </w:rPr>
            </w:pPr>
            <w:r w:rsidRPr="00E119A0">
              <w:rPr>
                <w:rFonts w:asciiTheme="majorHAnsi" w:hAnsiTheme="majorHAnsi"/>
              </w:rPr>
              <w:t>4.11.2019</w:t>
            </w:r>
          </w:p>
        </w:tc>
        <w:tc>
          <w:tcPr>
            <w:tcW w:w="4491" w:type="dxa"/>
          </w:tcPr>
          <w:p w:rsidR="00E119A0" w:rsidRPr="00E119A0" w:rsidRDefault="00E119A0" w:rsidP="00E119A0">
            <w:pPr>
              <w:rPr>
                <w:rFonts w:asciiTheme="majorHAnsi" w:hAnsiTheme="majorHAnsi"/>
                <w:lang w:val="en-US"/>
              </w:rPr>
            </w:pPr>
            <w:r w:rsidRPr="00E119A0">
              <w:rPr>
                <w:rFonts w:asciiTheme="majorHAnsi" w:hAnsiTheme="majorHAnsi"/>
                <w:lang w:val="en-US"/>
              </w:rPr>
              <w:t xml:space="preserve">We hereby seek clarification to section 1.6.3 Budget and the sentence “…The administrative body does not have the right to calculate overhead costs for the project.” Should </w:t>
            </w:r>
            <w:proofErr w:type="gramStart"/>
            <w:r w:rsidRPr="00E119A0">
              <w:rPr>
                <w:rFonts w:asciiTheme="majorHAnsi" w:hAnsiTheme="majorHAnsi"/>
                <w:lang w:val="en-US"/>
              </w:rPr>
              <w:t>the  administrative</w:t>
            </w:r>
            <w:proofErr w:type="gramEnd"/>
            <w:r w:rsidRPr="00E119A0">
              <w:rPr>
                <w:rFonts w:asciiTheme="majorHAnsi" w:hAnsiTheme="majorHAnsi"/>
                <w:lang w:val="en-US"/>
              </w:rPr>
              <w:t xml:space="preserve"> body here be understood as the Ministry of Environment and Food of Denmark? In other words, the tenderer is allowed to include an overhead as part of its price and salary per hour?</w:t>
            </w:r>
          </w:p>
        </w:tc>
        <w:tc>
          <w:tcPr>
            <w:tcW w:w="3827" w:type="dxa"/>
          </w:tcPr>
          <w:p w:rsidR="00E119A0" w:rsidRPr="00E119A0" w:rsidRDefault="00E119A0" w:rsidP="00E119A0">
            <w:pPr>
              <w:rPr>
                <w:rFonts w:asciiTheme="majorHAnsi" w:hAnsiTheme="majorHAnsi"/>
                <w:lang w:val="en-US"/>
              </w:rPr>
            </w:pPr>
            <w:r w:rsidRPr="00E119A0">
              <w:rPr>
                <w:rFonts w:asciiTheme="majorHAnsi" w:hAnsiTheme="majorHAnsi"/>
                <w:lang w:val="en-US"/>
              </w:rPr>
              <w:t xml:space="preserve">The Administrative body means in this context the tenderer. </w:t>
            </w:r>
          </w:p>
          <w:p w:rsidR="00E119A0" w:rsidRPr="00E119A0" w:rsidRDefault="00E119A0" w:rsidP="00E119A0">
            <w:pPr>
              <w:rPr>
                <w:rFonts w:asciiTheme="majorHAnsi" w:hAnsiTheme="majorHAnsi"/>
                <w:lang w:val="en-US"/>
              </w:rPr>
            </w:pPr>
            <w:r w:rsidRPr="00E119A0">
              <w:rPr>
                <w:rFonts w:asciiTheme="majorHAnsi" w:hAnsiTheme="majorHAnsi"/>
                <w:lang w:val="en-US"/>
              </w:rPr>
              <w:t xml:space="preserve">Therefore, overhead should not be a separate post within the budget, but could, if needed, be part of the tenderer’s costs for salary. </w:t>
            </w:r>
          </w:p>
        </w:tc>
      </w:tr>
      <w:tr w:rsidR="00E119A0" w:rsidRPr="0036488C" w:rsidTr="00E119A0">
        <w:tc>
          <w:tcPr>
            <w:tcW w:w="1017" w:type="dxa"/>
          </w:tcPr>
          <w:p w:rsidR="00E119A0" w:rsidRPr="00E119A0" w:rsidRDefault="00E119A0" w:rsidP="00E119A0">
            <w:pPr>
              <w:rPr>
                <w:rFonts w:asciiTheme="majorHAnsi" w:hAnsiTheme="majorHAnsi"/>
              </w:rPr>
            </w:pPr>
            <w:r w:rsidRPr="00E119A0">
              <w:rPr>
                <w:rFonts w:asciiTheme="majorHAnsi" w:hAnsiTheme="majorHAnsi"/>
              </w:rPr>
              <w:t>2</w:t>
            </w:r>
          </w:p>
        </w:tc>
        <w:tc>
          <w:tcPr>
            <w:tcW w:w="1121" w:type="dxa"/>
          </w:tcPr>
          <w:p w:rsidR="00E119A0" w:rsidRPr="00E119A0" w:rsidRDefault="00E119A0" w:rsidP="00E119A0">
            <w:pPr>
              <w:rPr>
                <w:rFonts w:asciiTheme="majorHAnsi" w:hAnsiTheme="majorHAnsi"/>
              </w:rPr>
            </w:pPr>
            <w:r w:rsidRPr="00E119A0">
              <w:rPr>
                <w:rFonts w:asciiTheme="majorHAnsi" w:hAnsiTheme="majorHAnsi"/>
              </w:rPr>
              <w:t>15.11.2019</w:t>
            </w:r>
          </w:p>
        </w:tc>
        <w:tc>
          <w:tcPr>
            <w:tcW w:w="4491" w:type="dxa"/>
          </w:tcPr>
          <w:p w:rsidR="00E119A0" w:rsidRPr="00E119A0" w:rsidRDefault="00E119A0" w:rsidP="00F52F67">
            <w:pPr>
              <w:rPr>
                <w:rFonts w:asciiTheme="majorHAnsi" w:hAnsiTheme="majorHAnsi"/>
                <w:lang w:val="en-US"/>
              </w:rPr>
            </w:pPr>
            <w:r w:rsidRPr="00E119A0">
              <w:rPr>
                <w:rFonts w:asciiTheme="majorHAnsi" w:hAnsiTheme="majorHAnsi" w:cs="Arial"/>
                <w:lang w:val="en-US"/>
              </w:rPr>
              <w:t>It is not entirely clear what is meant by “</w:t>
            </w:r>
            <w:r w:rsidRPr="00E119A0">
              <w:rPr>
                <w:rFonts w:asciiTheme="majorHAnsi" w:hAnsiTheme="majorHAnsi"/>
                <w:lang w:val="en-US"/>
              </w:rPr>
              <w:t>The budget is 600 000 DKK (VAT 0%).” Is it therefore correct that the budget limit is 600.000 DKK exclusive VAT? And is it therefore correct that if our price of consultancy</w:t>
            </w:r>
            <w:proofErr w:type="gramStart"/>
            <w:r w:rsidRPr="00E119A0">
              <w:rPr>
                <w:rFonts w:asciiTheme="majorHAnsi" w:hAnsiTheme="majorHAnsi"/>
                <w:lang w:val="en-US"/>
              </w:rPr>
              <w:t>  services</w:t>
            </w:r>
            <w:proofErr w:type="gramEnd"/>
            <w:r w:rsidRPr="00E119A0">
              <w:rPr>
                <w:rFonts w:asciiTheme="majorHAnsi" w:hAnsiTheme="majorHAnsi"/>
                <w:lang w:val="en-US"/>
              </w:rPr>
              <w:t xml:space="preserve"> amounts to, let’s say, 560.000 DKK exclusive VAT plus 40.000 travel costs, etch. </w:t>
            </w:r>
            <w:proofErr w:type="gramStart"/>
            <w:r w:rsidRPr="00E119A0">
              <w:rPr>
                <w:rFonts w:asciiTheme="majorHAnsi" w:hAnsiTheme="majorHAnsi"/>
                <w:lang w:val="en-US"/>
              </w:rPr>
              <w:t>inclusive</w:t>
            </w:r>
            <w:proofErr w:type="gramEnd"/>
            <w:r w:rsidRPr="00E119A0">
              <w:rPr>
                <w:rFonts w:asciiTheme="majorHAnsi" w:hAnsiTheme="majorHAnsi"/>
                <w:lang w:val="en-US"/>
              </w:rPr>
              <w:t xml:space="preserve"> VAT, then we still can add Danish VAT 140.000 DKK (as we are obliged to by law and as is normally the case with consultancy projects for the public authorities) to the consultancy services, and the total  price will still be within the budget limits?</w:t>
            </w:r>
          </w:p>
        </w:tc>
        <w:tc>
          <w:tcPr>
            <w:tcW w:w="3827" w:type="dxa"/>
          </w:tcPr>
          <w:p w:rsidR="00E119A0" w:rsidRPr="00E119A0" w:rsidRDefault="00F52F67" w:rsidP="00F52F67">
            <w:pPr>
              <w:rPr>
                <w:rFonts w:asciiTheme="majorHAnsi" w:hAnsiTheme="majorHAnsi"/>
                <w:lang w:val="en-US"/>
              </w:rPr>
            </w:pPr>
            <w:r>
              <w:rPr>
                <w:rFonts w:asciiTheme="majorHAnsi" w:hAnsiTheme="majorHAnsi"/>
                <w:lang w:val="en-US"/>
              </w:rPr>
              <w:t>The budget limit is 600.000 DKK exclusive VAT. Danish companies, that will have to add Danish VAT on top</w:t>
            </w:r>
            <w:r w:rsidR="003D4B05">
              <w:rPr>
                <w:rFonts w:asciiTheme="majorHAnsi" w:hAnsiTheme="majorHAnsi"/>
                <w:lang w:val="en-US"/>
              </w:rPr>
              <w:t>,</w:t>
            </w:r>
            <w:r>
              <w:rPr>
                <w:rFonts w:asciiTheme="majorHAnsi" w:hAnsiTheme="majorHAnsi"/>
                <w:lang w:val="en-US"/>
              </w:rPr>
              <w:t xml:space="preserve"> can therefore do so, as soon as the budget clearly shows that the amount applied is max. 600.000 DKK excl. VAT. </w:t>
            </w:r>
          </w:p>
        </w:tc>
      </w:tr>
      <w:tr w:rsidR="00E119A0" w:rsidRPr="003230BE" w:rsidTr="00E119A0">
        <w:tc>
          <w:tcPr>
            <w:tcW w:w="1017" w:type="dxa"/>
          </w:tcPr>
          <w:p w:rsidR="00E119A0" w:rsidRPr="00E119A0" w:rsidRDefault="00E119A0" w:rsidP="00E119A0">
            <w:pPr>
              <w:rPr>
                <w:rFonts w:asciiTheme="majorHAnsi" w:hAnsiTheme="majorHAnsi"/>
              </w:rPr>
            </w:pPr>
            <w:r w:rsidRPr="00E119A0">
              <w:rPr>
                <w:rFonts w:asciiTheme="majorHAnsi" w:hAnsiTheme="majorHAnsi"/>
              </w:rPr>
              <w:t>3</w:t>
            </w:r>
          </w:p>
        </w:tc>
        <w:tc>
          <w:tcPr>
            <w:tcW w:w="1121" w:type="dxa"/>
          </w:tcPr>
          <w:p w:rsidR="00E119A0" w:rsidRPr="00E119A0" w:rsidRDefault="00E119A0" w:rsidP="00E119A0">
            <w:pPr>
              <w:rPr>
                <w:rFonts w:asciiTheme="majorHAnsi" w:hAnsiTheme="majorHAnsi"/>
              </w:rPr>
            </w:pPr>
            <w:r w:rsidRPr="00E119A0">
              <w:rPr>
                <w:rFonts w:asciiTheme="majorHAnsi" w:hAnsiTheme="majorHAnsi"/>
              </w:rPr>
              <w:t>15.11.2019</w:t>
            </w:r>
          </w:p>
        </w:tc>
        <w:tc>
          <w:tcPr>
            <w:tcW w:w="4491" w:type="dxa"/>
          </w:tcPr>
          <w:p w:rsidR="00E119A0" w:rsidRPr="00E119A0" w:rsidRDefault="00E119A0" w:rsidP="00E119A0">
            <w:pPr>
              <w:rPr>
                <w:rFonts w:asciiTheme="majorHAnsi" w:hAnsiTheme="majorHAnsi" w:cs="Arial"/>
                <w:lang w:val="en-US"/>
              </w:rPr>
            </w:pPr>
            <w:r w:rsidRPr="00E119A0">
              <w:rPr>
                <w:rFonts w:asciiTheme="majorHAnsi" w:hAnsiTheme="majorHAnsi" w:cs="Arial"/>
                <w:lang w:val="en-US"/>
              </w:rPr>
              <w:t>We have a question about the October meeting referred to under 1.3.3 Tasks item F.  As the project period ends on August 31</w:t>
            </w:r>
            <w:r w:rsidRPr="00E119A0">
              <w:rPr>
                <w:rFonts w:asciiTheme="majorHAnsi" w:hAnsiTheme="majorHAnsi" w:cs="Arial"/>
                <w:vertAlign w:val="superscript"/>
                <w:lang w:val="en-US"/>
              </w:rPr>
              <w:t>st</w:t>
            </w:r>
            <w:r w:rsidRPr="00E119A0">
              <w:rPr>
                <w:rFonts w:asciiTheme="majorHAnsi" w:hAnsiTheme="majorHAnsi" w:cs="Arial"/>
                <w:lang w:val="en-US"/>
              </w:rPr>
              <w:t xml:space="preserve"> we wish to clarify if representatives from the project are expected to also participate and present the project at the October ministerial meeting.</w:t>
            </w:r>
          </w:p>
        </w:tc>
        <w:tc>
          <w:tcPr>
            <w:tcW w:w="3827" w:type="dxa"/>
          </w:tcPr>
          <w:p w:rsidR="00E119A0" w:rsidRPr="00E119A0" w:rsidRDefault="003D4B05" w:rsidP="0042307B">
            <w:pPr>
              <w:rPr>
                <w:rFonts w:asciiTheme="majorHAnsi" w:hAnsiTheme="majorHAnsi"/>
                <w:lang w:val="en-US"/>
              </w:rPr>
            </w:pPr>
            <w:r>
              <w:rPr>
                <w:rFonts w:asciiTheme="majorHAnsi" w:hAnsiTheme="majorHAnsi"/>
                <w:lang w:val="en-US"/>
              </w:rPr>
              <w:t>A representative from the project is</w:t>
            </w:r>
            <w:r w:rsidR="00F52F67">
              <w:rPr>
                <w:rFonts w:asciiTheme="majorHAnsi" w:hAnsiTheme="majorHAnsi"/>
                <w:lang w:val="en-US"/>
              </w:rPr>
              <w:t xml:space="preserve"> expected to be able to present the project in October, if needed. </w:t>
            </w:r>
            <w:r w:rsidR="0042307B">
              <w:rPr>
                <w:rFonts w:asciiTheme="majorHAnsi" w:hAnsiTheme="majorHAnsi"/>
                <w:lang w:val="en-US"/>
              </w:rPr>
              <w:t xml:space="preserve">Therefore, the project final date and deadline for final report with accounts are adjusted to 15.11.2020. </w:t>
            </w:r>
          </w:p>
        </w:tc>
      </w:tr>
      <w:tr w:rsidR="00820ACC" w:rsidRPr="003230BE" w:rsidTr="00E119A0">
        <w:tc>
          <w:tcPr>
            <w:tcW w:w="1017" w:type="dxa"/>
          </w:tcPr>
          <w:p w:rsidR="00820ACC" w:rsidRPr="00820ACC" w:rsidRDefault="00820ACC" w:rsidP="00E119A0">
            <w:pPr>
              <w:rPr>
                <w:rFonts w:asciiTheme="majorHAnsi" w:hAnsiTheme="majorHAnsi"/>
                <w:lang w:val="en-US"/>
              </w:rPr>
            </w:pPr>
            <w:r>
              <w:rPr>
                <w:rFonts w:asciiTheme="majorHAnsi" w:hAnsiTheme="majorHAnsi"/>
                <w:lang w:val="en-US"/>
              </w:rPr>
              <w:t>4</w:t>
            </w:r>
          </w:p>
        </w:tc>
        <w:tc>
          <w:tcPr>
            <w:tcW w:w="1121" w:type="dxa"/>
          </w:tcPr>
          <w:p w:rsidR="00820ACC" w:rsidRPr="00820ACC" w:rsidRDefault="00820ACC" w:rsidP="00E119A0">
            <w:pPr>
              <w:rPr>
                <w:rFonts w:asciiTheme="majorHAnsi" w:hAnsiTheme="majorHAnsi"/>
                <w:lang w:val="en-US"/>
              </w:rPr>
            </w:pPr>
            <w:r>
              <w:rPr>
                <w:rFonts w:asciiTheme="majorHAnsi" w:hAnsiTheme="majorHAnsi"/>
                <w:lang w:val="en-US"/>
              </w:rPr>
              <w:t>20.11.2019</w:t>
            </w:r>
          </w:p>
        </w:tc>
        <w:tc>
          <w:tcPr>
            <w:tcW w:w="4491" w:type="dxa"/>
          </w:tcPr>
          <w:p w:rsidR="00820ACC" w:rsidRPr="00820ACC" w:rsidRDefault="00820ACC" w:rsidP="00820ACC">
            <w:pPr>
              <w:rPr>
                <w:lang w:val="en-US"/>
              </w:rPr>
            </w:pPr>
            <w:r w:rsidRPr="00820ACC">
              <w:rPr>
                <w:lang w:val="en-US"/>
              </w:rPr>
              <w:t>1.6.2.5 The tenderer's financial and economic suitability</w:t>
            </w:r>
          </w:p>
          <w:p w:rsidR="00820ACC" w:rsidRPr="00820ACC" w:rsidRDefault="00820ACC" w:rsidP="00820ACC">
            <w:pPr>
              <w:rPr>
                <w:lang w:val="en-US"/>
              </w:rPr>
            </w:pPr>
            <w:r w:rsidRPr="00820ACC">
              <w:rPr>
                <w:lang w:val="en-US"/>
              </w:rPr>
              <w:t>Can you please clarify in which form you'd like to receive the proof? I.e. a copy of the 2018 annual report, a financial statement from management, a link to public financial records, etc.</w:t>
            </w:r>
          </w:p>
        </w:tc>
        <w:tc>
          <w:tcPr>
            <w:tcW w:w="3827" w:type="dxa"/>
          </w:tcPr>
          <w:p w:rsidR="00820ACC" w:rsidRDefault="00926D69" w:rsidP="006431C9">
            <w:pPr>
              <w:rPr>
                <w:rFonts w:asciiTheme="majorHAnsi" w:hAnsiTheme="majorHAnsi"/>
                <w:lang w:val="en-US"/>
              </w:rPr>
            </w:pPr>
            <w:proofErr w:type="gramStart"/>
            <w:r>
              <w:rPr>
                <w:rFonts w:asciiTheme="majorHAnsi" w:hAnsiTheme="majorHAnsi"/>
                <w:lang w:val="en-US"/>
              </w:rPr>
              <w:t>A copy of the 2018 annual report or a link to the public financial records are</w:t>
            </w:r>
            <w:proofErr w:type="gramEnd"/>
            <w:r>
              <w:rPr>
                <w:rFonts w:asciiTheme="majorHAnsi" w:hAnsiTheme="majorHAnsi"/>
                <w:lang w:val="en-US"/>
              </w:rPr>
              <w:t xml:space="preserve"> sufficient to evaluate the tender’s financial and economic suitability.</w:t>
            </w:r>
          </w:p>
        </w:tc>
      </w:tr>
      <w:tr w:rsidR="00820ACC" w:rsidRPr="003230BE" w:rsidTr="00E119A0">
        <w:tc>
          <w:tcPr>
            <w:tcW w:w="1017" w:type="dxa"/>
          </w:tcPr>
          <w:p w:rsidR="00820ACC" w:rsidRDefault="00820ACC" w:rsidP="00E119A0">
            <w:pPr>
              <w:rPr>
                <w:rFonts w:asciiTheme="majorHAnsi" w:hAnsiTheme="majorHAnsi"/>
                <w:lang w:val="en-US"/>
              </w:rPr>
            </w:pPr>
            <w:r>
              <w:rPr>
                <w:rFonts w:asciiTheme="majorHAnsi" w:hAnsiTheme="majorHAnsi"/>
                <w:lang w:val="en-US"/>
              </w:rPr>
              <w:t>5</w:t>
            </w:r>
          </w:p>
        </w:tc>
        <w:tc>
          <w:tcPr>
            <w:tcW w:w="1121" w:type="dxa"/>
          </w:tcPr>
          <w:p w:rsidR="00820ACC" w:rsidRDefault="00820ACC" w:rsidP="00E119A0">
            <w:pPr>
              <w:rPr>
                <w:rFonts w:asciiTheme="majorHAnsi" w:hAnsiTheme="majorHAnsi"/>
                <w:lang w:val="en-US"/>
              </w:rPr>
            </w:pPr>
            <w:r>
              <w:rPr>
                <w:rFonts w:asciiTheme="majorHAnsi" w:hAnsiTheme="majorHAnsi"/>
                <w:lang w:val="en-US"/>
              </w:rPr>
              <w:t>20.11.2019</w:t>
            </w:r>
          </w:p>
        </w:tc>
        <w:tc>
          <w:tcPr>
            <w:tcW w:w="4491" w:type="dxa"/>
          </w:tcPr>
          <w:p w:rsidR="00820ACC" w:rsidRPr="00820ACC" w:rsidRDefault="00820ACC" w:rsidP="00820ACC">
            <w:pPr>
              <w:rPr>
                <w:lang w:val="en-US"/>
              </w:rPr>
            </w:pPr>
            <w:r w:rsidRPr="00820ACC">
              <w:rPr>
                <w:lang w:val="en-US"/>
              </w:rPr>
              <w:t>1.3.4 Output and communication of project results</w:t>
            </w:r>
          </w:p>
          <w:p w:rsidR="00820ACC" w:rsidRPr="00820ACC" w:rsidRDefault="00820ACC" w:rsidP="00820ACC">
            <w:pPr>
              <w:rPr>
                <w:lang w:val="en-US"/>
              </w:rPr>
            </w:pPr>
            <w:r w:rsidRPr="00820ACC">
              <w:rPr>
                <w:lang w:val="en-US"/>
              </w:rPr>
              <w:t xml:space="preserve">Output 9. </w:t>
            </w:r>
            <w:proofErr w:type="gramStart"/>
            <w:r w:rsidRPr="00820ACC">
              <w:rPr>
                <w:lang w:val="en-US"/>
              </w:rPr>
              <w:t>a</w:t>
            </w:r>
            <w:proofErr w:type="gramEnd"/>
            <w:r w:rsidRPr="00820ACC">
              <w:rPr>
                <w:lang w:val="en-US"/>
              </w:rPr>
              <w:t xml:space="preserve"> final NKL-report with accounts and an auditor's report to be approved by the NKL-group before the final disbursement.</w:t>
            </w:r>
          </w:p>
          <w:p w:rsidR="00820ACC" w:rsidRPr="00820ACC" w:rsidRDefault="00820ACC" w:rsidP="00820ACC">
            <w:pPr>
              <w:rPr>
                <w:lang w:val="en-US"/>
              </w:rPr>
            </w:pPr>
            <w:r w:rsidRPr="00820ACC">
              <w:rPr>
                <w:lang w:val="en-US"/>
              </w:rPr>
              <w:t>Can you please clarify if there is any action item for the tenderer? Does the tenderer solely wait to hear from the NKL-group regarding their approved auditor's report?</w:t>
            </w:r>
          </w:p>
        </w:tc>
        <w:tc>
          <w:tcPr>
            <w:tcW w:w="3827" w:type="dxa"/>
          </w:tcPr>
          <w:p w:rsidR="00820ACC" w:rsidRDefault="00926D69" w:rsidP="00926D69">
            <w:pPr>
              <w:rPr>
                <w:rFonts w:asciiTheme="majorHAnsi" w:hAnsiTheme="majorHAnsi"/>
                <w:lang w:val="en-US"/>
              </w:rPr>
            </w:pPr>
            <w:r>
              <w:rPr>
                <w:rFonts w:asciiTheme="majorHAnsi" w:hAnsiTheme="majorHAnsi"/>
                <w:lang w:val="en-US"/>
              </w:rPr>
              <w:t xml:space="preserve">The tenderer and NKL contact person or coordinator will be in dialogue with regards to the final report. A template to the final report will be delivered by the NKL Secretariat. </w:t>
            </w:r>
          </w:p>
        </w:tc>
      </w:tr>
    </w:tbl>
    <w:p w:rsidR="00690199" w:rsidRDefault="00690199" w:rsidP="00690199">
      <w:pPr>
        <w:pStyle w:val="Default"/>
        <w:jc w:val="center"/>
        <w:rPr>
          <w:rFonts w:asciiTheme="majorHAnsi" w:hAnsiTheme="majorHAnsi"/>
          <w:sz w:val="20"/>
          <w:szCs w:val="20"/>
          <w:lang w:val="en-US"/>
        </w:rPr>
      </w:pPr>
    </w:p>
    <w:p w:rsidR="00E7476E" w:rsidRPr="00690199" w:rsidRDefault="00E7476E" w:rsidP="00E7476E">
      <w:pPr>
        <w:rPr>
          <w:rFonts w:asciiTheme="majorHAnsi" w:hAnsiTheme="majorHAnsi"/>
          <w:szCs w:val="22"/>
          <w:lang w:val="en-US"/>
        </w:rPr>
      </w:pPr>
    </w:p>
    <w:sectPr w:rsidR="00E7476E" w:rsidRPr="00690199" w:rsidSect="002530C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97" w:rsidRDefault="002D1D97">
      <w:r>
        <w:separator/>
      </w:r>
    </w:p>
  </w:endnote>
  <w:endnote w:type="continuationSeparator" w:id="0">
    <w:p w:rsidR="002D1D97" w:rsidRDefault="002D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90199">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42307B">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99" w:rsidRPr="00690199" w:rsidRDefault="00690199" w:rsidP="00690199">
    <w:pPr>
      <w:pStyle w:val="Template-Address"/>
    </w:pPr>
    <w:bookmarkStart w:id="3" w:name="OFF_Institution"/>
    <w:bookmarkStart w:id="4" w:name="OFF_InstitutionHIF"/>
    <w:bookmarkStart w:id="5" w:name="XIF_MMFirstAddressLine"/>
    <w:r w:rsidRPr="00690199">
      <w:t>Miljø- og Fødevareministeriet</w:t>
    </w:r>
    <w:bookmarkEnd w:id="3"/>
    <w:r w:rsidRPr="00690199">
      <w:t xml:space="preserve"> </w:t>
    </w:r>
    <w:bookmarkEnd w:id="4"/>
    <w:r w:rsidRPr="00690199">
      <w:t xml:space="preserve">• </w:t>
    </w:r>
    <w:bookmarkStart w:id="6" w:name="OFF_AddressA"/>
    <w:bookmarkStart w:id="7" w:name="OFF_AddressAHIF"/>
    <w:r w:rsidRPr="00690199">
      <w:t>Slotsholmsgade 12</w:t>
    </w:r>
    <w:bookmarkEnd w:id="6"/>
    <w:r w:rsidRPr="00690199">
      <w:t xml:space="preserve"> </w:t>
    </w:r>
    <w:bookmarkEnd w:id="7"/>
    <w:r w:rsidRPr="00690199">
      <w:rPr>
        <w:vanish/>
      </w:rPr>
      <w:t xml:space="preserve">• </w:t>
    </w:r>
    <w:bookmarkStart w:id="8" w:name="OFF_AddressB"/>
    <w:bookmarkStart w:id="9" w:name="OFF_AddressBHIF"/>
    <w:bookmarkEnd w:id="8"/>
    <w:r w:rsidRPr="00690199">
      <w:rPr>
        <w:vanish/>
      </w:rPr>
      <w:t xml:space="preserve"> </w:t>
    </w:r>
    <w:bookmarkEnd w:id="9"/>
    <w:r w:rsidRPr="00690199">
      <w:rPr>
        <w:vanish/>
      </w:rPr>
      <w:t xml:space="preserve">• </w:t>
    </w:r>
    <w:bookmarkStart w:id="10" w:name="OFF_AddressC"/>
    <w:bookmarkStart w:id="11" w:name="OFF_AddressCHIF"/>
    <w:bookmarkEnd w:id="10"/>
    <w:r w:rsidRPr="00690199">
      <w:rPr>
        <w:vanish/>
      </w:rPr>
      <w:t xml:space="preserve"> </w:t>
    </w:r>
    <w:bookmarkEnd w:id="11"/>
    <w:r w:rsidRPr="00690199">
      <w:t xml:space="preserve">• </w:t>
    </w:r>
    <w:bookmarkStart w:id="12" w:name="OFF_AddressD"/>
    <w:bookmarkStart w:id="13" w:name="OFF_AddressDHIF"/>
    <w:r w:rsidRPr="00690199">
      <w:t>1216</w:t>
    </w:r>
    <w:bookmarkEnd w:id="12"/>
    <w:r w:rsidRPr="00690199">
      <w:t xml:space="preserve"> </w:t>
    </w:r>
    <w:bookmarkStart w:id="14" w:name="OFF_City"/>
    <w:r w:rsidRPr="00690199">
      <w:t>København K</w:t>
    </w:r>
    <w:bookmarkEnd w:id="14"/>
    <w:r w:rsidRPr="00690199">
      <w:t xml:space="preserve"> </w:t>
    </w:r>
    <w:bookmarkEnd w:id="13"/>
  </w:p>
  <w:p w:rsidR="00690199" w:rsidRPr="00997908" w:rsidRDefault="00690199" w:rsidP="00690199">
    <w:pPr>
      <w:pStyle w:val="Template-Address"/>
      <w:rPr>
        <w:lang w:val="en-GB"/>
      </w:rPr>
    </w:pPr>
    <w:bookmarkStart w:id="15" w:name="LAN_Phone"/>
    <w:bookmarkStart w:id="16" w:name="OFF_PhoneHIF"/>
    <w:bookmarkStart w:id="17" w:name="XIF_MMSecondAddressLine"/>
    <w:bookmarkEnd w:id="5"/>
    <w:r w:rsidRPr="00690199">
      <w:rPr>
        <w:lang w:val="en-GB"/>
      </w:rPr>
      <w:t>Tlf.</w:t>
    </w:r>
    <w:bookmarkEnd w:id="15"/>
    <w:r w:rsidRPr="00690199">
      <w:rPr>
        <w:lang w:val="en-GB"/>
      </w:rPr>
      <w:t xml:space="preserve"> </w:t>
    </w:r>
    <w:bookmarkStart w:id="18" w:name="OFF_Phone"/>
    <w:r w:rsidRPr="00690199">
      <w:rPr>
        <w:lang w:val="en-GB"/>
      </w:rPr>
      <w:t>38 14 21 42</w:t>
    </w:r>
    <w:bookmarkEnd w:id="18"/>
    <w:r w:rsidRPr="00690199">
      <w:rPr>
        <w:lang w:val="en-GB"/>
      </w:rPr>
      <w:t xml:space="preserve"> </w:t>
    </w:r>
    <w:bookmarkEnd w:id="16"/>
    <w:r w:rsidRPr="00690199">
      <w:rPr>
        <w:lang w:val="en-GB"/>
      </w:rPr>
      <w:t xml:space="preserve">• </w:t>
    </w:r>
    <w:bookmarkStart w:id="19" w:name="LAN_Fax"/>
    <w:bookmarkStart w:id="20" w:name="OFF_FaxHIF"/>
    <w:r w:rsidRPr="00690199">
      <w:rPr>
        <w:lang w:val="en-GB"/>
      </w:rPr>
      <w:t>Fax</w:t>
    </w:r>
    <w:bookmarkEnd w:id="19"/>
    <w:r w:rsidRPr="00690199">
      <w:rPr>
        <w:lang w:val="en-GB"/>
      </w:rPr>
      <w:t xml:space="preserve"> </w:t>
    </w:r>
    <w:bookmarkStart w:id="21" w:name="OFF_Fax"/>
    <w:r w:rsidRPr="00690199">
      <w:rPr>
        <w:lang w:val="en-GB"/>
      </w:rPr>
      <w:t>33 14 50 42</w:t>
    </w:r>
    <w:bookmarkEnd w:id="21"/>
    <w:r w:rsidRPr="00690199">
      <w:rPr>
        <w:lang w:val="en-GB"/>
      </w:rPr>
      <w:t xml:space="preserve"> </w:t>
    </w:r>
    <w:bookmarkEnd w:id="20"/>
    <w:r w:rsidRPr="00690199">
      <w:rPr>
        <w:lang w:val="en-GB"/>
      </w:rPr>
      <w:t xml:space="preserve">• </w:t>
    </w:r>
    <w:bookmarkStart w:id="22" w:name="OFF_CVRHIF"/>
    <w:r w:rsidRPr="00690199">
      <w:rPr>
        <w:lang w:val="en-GB"/>
      </w:rPr>
      <w:t xml:space="preserve">CVR </w:t>
    </w:r>
    <w:bookmarkStart w:id="23" w:name="OFF_CVR"/>
    <w:r w:rsidRPr="00690199">
      <w:rPr>
        <w:lang w:val="en-GB"/>
      </w:rPr>
      <w:t>12854358</w:t>
    </w:r>
    <w:bookmarkEnd w:id="23"/>
    <w:r w:rsidRPr="00690199">
      <w:rPr>
        <w:lang w:val="en-GB"/>
      </w:rPr>
      <w:t xml:space="preserve"> </w:t>
    </w:r>
    <w:bookmarkEnd w:id="22"/>
    <w:r w:rsidRPr="00690199">
      <w:rPr>
        <w:lang w:val="en-GB"/>
      </w:rPr>
      <w:t xml:space="preserve">• </w:t>
    </w:r>
    <w:bookmarkStart w:id="24" w:name="OFF_EANHIF"/>
    <w:r w:rsidRPr="00690199">
      <w:rPr>
        <w:lang w:val="en-GB"/>
      </w:rPr>
      <w:t xml:space="preserve">EAN </w:t>
    </w:r>
    <w:bookmarkStart w:id="25" w:name="OFF_EAN"/>
    <w:r w:rsidRPr="00690199">
      <w:rPr>
        <w:lang w:val="en-GB"/>
      </w:rPr>
      <w:t>5798000862005</w:t>
    </w:r>
    <w:bookmarkEnd w:id="25"/>
    <w:r w:rsidRPr="00690199">
      <w:rPr>
        <w:lang w:val="en-GB"/>
      </w:rPr>
      <w:t xml:space="preserve"> </w:t>
    </w:r>
    <w:bookmarkEnd w:id="24"/>
    <w:r w:rsidRPr="00690199">
      <w:rPr>
        <w:lang w:val="en-GB"/>
      </w:rPr>
      <w:t xml:space="preserve">• </w:t>
    </w:r>
    <w:bookmarkStart w:id="26" w:name="OFF_Email"/>
    <w:bookmarkStart w:id="27" w:name="OFF_EmailHIF"/>
    <w:r w:rsidRPr="00690199">
      <w:rPr>
        <w:lang w:val="en-GB"/>
      </w:rPr>
      <w:t>mfvm@mfvm.dk</w:t>
    </w:r>
    <w:bookmarkEnd w:id="26"/>
    <w:r w:rsidRPr="00690199">
      <w:rPr>
        <w:lang w:val="en-GB"/>
      </w:rPr>
      <w:t xml:space="preserve"> </w:t>
    </w:r>
    <w:bookmarkEnd w:id="27"/>
    <w:r w:rsidRPr="00690199">
      <w:rPr>
        <w:lang w:val="en-GB"/>
      </w:rPr>
      <w:t xml:space="preserve">• </w:t>
    </w:r>
    <w:bookmarkStart w:id="28" w:name="OFF_Web"/>
    <w:bookmarkStart w:id="29" w:name="OFF_WebHIF"/>
    <w:r w:rsidRPr="00690199">
      <w:rPr>
        <w:lang w:val="en-GB"/>
      </w:rPr>
      <w:t>www.mfvm.dk</w:t>
    </w:r>
    <w:bookmarkEnd w:id="28"/>
    <w:r w:rsidRPr="00690199">
      <w:rPr>
        <w:lang w:val="en-GB"/>
      </w:rPr>
      <w:t xml:space="preserve"> </w:t>
    </w:r>
    <w:bookmarkEnd w:id="17"/>
    <w:bookmarkEnd w:id="29"/>
  </w:p>
  <w:p w:rsidR="0048667B" w:rsidRPr="00690199" w:rsidRDefault="0048667B" w:rsidP="00690199">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97" w:rsidRDefault="002D1D97">
      <w:r>
        <w:separator/>
      </w:r>
    </w:p>
  </w:footnote>
  <w:footnote w:type="continuationSeparator" w:id="0">
    <w:p w:rsidR="002D1D97" w:rsidRDefault="002D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BE" w:rsidRDefault="003230B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0" w:name="BIT_PrimaryHeader"/>
  </w:p>
  <w:bookmarkEnd w:id="0"/>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ED" w:rsidRDefault="00690199" w:rsidP="00E7476E">
    <w:pPr>
      <w:pStyle w:val="Sidehoved"/>
    </w:pPr>
    <w:bookmarkStart w:id="1" w:name="BIT_FirstPageHeade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624662" cy="795867"/>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4662" cy="795867"/>
                  </a:xfrm>
                  <a:prstGeom prst="rect">
                    <a:avLst/>
                  </a:prstGeom>
                </pic:spPr>
              </pic:pic>
            </a:graphicData>
          </a:graphic>
          <wp14:sizeRelH relativeFrom="page">
            <wp14:pctWidth>0</wp14:pctWidth>
          </wp14:sizeRelH>
          <wp14:sizeRelV relativeFrom="page">
            <wp14:pctHeight>0</wp14:pctHeight>
          </wp14:sizeRelV>
        </wp:anchor>
      </w:drawing>
    </w:r>
    <w:r w:rsidR="00E7476E">
      <w:t xml:space="preserve">Version </w:t>
    </w:r>
    <w:bookmarkEnd w:id="1"/>
    <w:r w:rsidR="003230BE">
      <w:t>2</w:t>
    </w:r>
    <w:bookmarkStart w:id="2" w:name="_GoBack"/>
    <w:bookmarkEnd w:id="2"/>
    <w:r w:rsidR="00820ACC">
      <w:tab/>
    </w:r>
    <w:r w:rsidR="00820ACC">
      <w:tab/>
      <w:t>22</w:t>
    </w:r>
    <w:r w:rsidR="00050BC1">
      <w:t>.11</w:t>
    </w:r>
    <w:r w:rsidR="00F12E0D">
      <w:t>.2019</w:t>
    </w:r>
  </w:p>
  <w:p w:rsidR="002530CF" w:rsidRDefault="002530CF"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2E924B01"/>
    <w:multiLevelType w:val="multilevel"/>
    <w:tmpl w:val="47146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CA"/>
    <w:rsid w:val="00002EA0"/>
    <w:rsid w:val="00003636"/>
    <w:rsid w:val="00005FAA"/>
    <w:rsid w:val="0001457C"/>
    <w:rsid w:val="0001528D"/>
    <w:rsid w:val="000166A0"/>
    <w:rsid w:val="00030051"/>
    <w:rsid w:val="00037E7E"/>
    <w:rsid w:val="00050BC1"/>
    <w:rsid w:val="00060BC5"/>
    <w:rsid w:val="000647F2"/>
    <w:rsid w:val="00066A0C"/>
    <w:rsid w:val="00070BA1"/>
    <w:rsid w:val="00073466"/>
    <w:rsid w:val="00074854"/>
    <w:rsid w:val="00074F1A"/>
    <w:rsid w:val="000758FD"/>
    <w:rsid w:val="00080270"/>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1AB2"/>
    <w:rsid w:val="00114DE6"/>
    <w:rsid w:val="001210A9"/>
    <w:rsid w:val="001354CC"/>
    <w:rsid w:val="0014150F"/>
    <w:rsid w:val="00143F4A"/>
    <w:rsid w:val="00144670"/>
    <w:rsid w:val="0014616C"/>
    <w:rsid w:val="00150899"/>
    <w:rsid w:val="00152CB8"/>
    <w:rsid w:val="00156908"/>
    <w:rsid w:val="00160721"/>
    <w:rsid w:val="001743E7"/>
    <w:rsid w:val="0018769C"/>
    <w:rsid w:val="001A48A5"/>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1650A"/>
    <w:rsid w:val="002239C6"/>
    <w:rsid w:val="00225534"/>
    <w:rsid w:val="00235C1F"/>
    <w:rsid w:val="002366E2"/>
    <w:rsid w:val="002530CF"/>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1D97"/>
    <w:rsid w:val="002D268E"/>
    <w:rsid w:val="002D7F0F"/>
    <w:rsid w:val="002E79E4"/>
    <w:rsid w:val="003001A2"/>
    <w:rsid w:val="003033ED"/>
    <w:rsid w:val="00310C3C"/>
    <w:rsid w:val="00313642"/>
    <w:rsid w:val="00315AC9"/>
    <w:rsid w:val="00320951"/>
    <w:rsid w:val="003209AA"/>
    <w:rsid w:val="00322BBE"/>
    <w:rsid w:val="003230BE"/>
    <w:rsid w:val="00326ED5"/>
    <w:rsid w:val="00331970"/>
    <w:rsid w:val="00334562"/>
    <w:rsid w:val="00343A37"/>
    <w:rsid w:val="00345FA9"/>
    <w:rsid w:val="00347E87"/>
    <w:rsid w:val="00350582"/>
    <w:rsid w:val="00353B4E"/>
    <w:rsid w:val="003558D9"/>
    <w:rsid w:val="00362EAC"/>
    <w:rsid w:val="0036488C"/>
    <w:rsid w:val="00365BC4"/>
    <w:rsid w:val="003819FF"/>
    <w:rsid w:val="00385C06"/>
    <w:rsid w:val="00386D0C"/>
    <w:rsid w:val="003A3350"/>
    <w:rsid w:val="003A3369"/>
    <w:rsid w:val="003A44A9"/>
    <w:rsid w:val="003B6C74"/>
    <w:rsid w:val="003C5F76"/>
    <w:rsid w:val="003C67E6"/>
    <w:rsid w:val="003D3CB2"/>
    <w:rsid w:val="003D4B05"/>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07B"/>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A6A23"/>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3BE6"/>
    <w:rsid w:val="00576B90"/>
    <w:rsid w:val="0058155D"/>
    <w:rsid w:val="00590A5B"/>
    <w:rsid w:val="00590C13"/>
    <w:rsid w:val="0059175F"/>
    <w:rsid w:val="0059560E"/>
    <w:rsid w:val="00596C25"/>
    <w:rsid w:val="005A01E1"/>
    <w:rsid w:val="005A0290"/>
    <w:rsid w:val="005A1F29"/>
    <w:rsid w:val="005A29CB"/>
    <w:rsid w:val="005A50B9"/>
    <w:rsid w:val="005C51A1"/>
    <w:rsid w:val="005C53B7"/>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431C9"/>
    <w:rsid w:val="00655780"/>
    <w:rsid w:val="00655FCA"/>
    <w:rsid w:val="00656763"/>
    <w:rsid w:val="00656C96"/>
    <w:rsid w:val="00663E6A"/>
    <w:rsid w:val="006665A1"/>
    <w:rsid w:val="006706E8"/>
    <w:rsid w:val="0067771A"/>
    <w:rsid w:val="00684B85"/>
    <w:rsid w:val="0068783F"/>
    <w:rsid w:val="00690199"/>
    <w:rsid w:val="00696E85"/>
    <w:rsid w:val="006A18C5"/>
    <w:rsid w:val="006D09A7"/>
    <w:rsid w:val="006E7F1D"/>
    <w:rsid w:val="006F3EB3"/>
    <w:rsid w:val="006F4DCD"/>
    <w:rsid w:val="00702FF2"/>
    <w:rsid w:val="00703B66"/>
    <w:rsid w:val="0070445C"/>
    <w:rsid w:val="00705800"/>
    <w:rsid w:val="00705EAB"/>
    <w:rsid w:val="00706C41"/>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0ACC"/>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14D4"/>
    <w:rsid w:val="00892520"/>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26D69"/>
    <w:rsid w:val="00944EE8"/>
    <w:rsid w:val="009461F0"/>
    <w:rsid w:val="009601F5"/>
    <w:rsid w:val="00963E43"/>
    <w:rsid w:val="00970F21"/>
    <w:rsid w:val="00975F3B"/>
    <w:rsid w:val="0098382A"/>
    <w:rsid w:val="009943CD"/>
    <w:rsid w:val="00994E91"/>
    <w:rsid w:val="009978F7"/>
    <w:rsid w:val="009B7BC4"/>
    <w:rsid w:val="009C002D"/>
    <w:rsid w:val="009C067A"/>
    <w:rsid w:val="009C37F8"/>
    <w:rsid w:val="009C6BB2"/>
    <w:rsid w:val="009E27B6"/>
    <w:rsid w:val="009E46B7"/>
    <w:rsid w:val="009E7920"/>
    <w:rsid w:val="009F368F"/>
    <w:rsid w:val="009F4367"/>
    <w:rsid w:val="009F7033"/>
    <w:rsid w:val="00A011F0"/>
    <w:rsid w:val="00A03CE6"/>
    <w:rsid w:val="00A03E48"/>
    <w:rsid w:val="00A11F5A"/>
    <w:rsid w:val="00A13201"/>
    <w:rsid w:val="00A158CB"/>
    <w:rsid w:val="00A24A07"/>
    <w:rsid w:val="00A34B40"/>
    <w:rsid w:val="00A36292"/>
    <w:rsid w:val="00A36D64"/>
    <w:rsid w:val="00A3749F"/>
    <w:rsid w:val="00A44A6B"/>
    <w:rsid w:val="00A518B3"/>
    <w:rsid w:val="00A51DBA"/>
    <w:rsid w:val="00A5408B"/>
    <w:rsid w:val="00A556CE"/>
    <w:rsid w:val="00A67D37"/>
    <w:rsid w:val="00A72DDE"/>
    <w:rsid w:val="00A85ECD"/>
    <w:rsid w:val="00A91E02"/>
    <w:rsid w:val="00A923E2"/>
    <w:rsid w:val="00A964CE"/>
    <w:rsid w:val="00A96C60"/>
    <w:rsid w:val="00AA4437"/>
    <w:rsid w:val="00AB363A"/>
    <w:rsid w:val="00AC35D6"/>
    <w:rsid w:val="00AD678B"/>
    <w:rsid w:val="00AE0950"/>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97B8E"/>
    <w:rsid w:val="00BA6B78"/>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1C36"/>
    <w:rsid w:val="00D922CF"/>
    <w:rsid w:val="00D951B4"/>
    <w:rsid w:val="00DA32B3"/>
    <w:rsid w:val="00DA6734"/>
    <w:rsid w:val="00DB56B3"/>
    <w:rsid w:val="00DE24BE"/>
    <w:rsid w:val="00DE5B21"/>
    <w:rsid w:val="00DE7479"/>
    <w:rsid w:val="00DF128B"/>
    <w:rsid w:val="00DF2F94"/>
    <w:rsid w:val="00E1113C"/>
    <w:rsid w:val="00E11688"/>
    <w:rsid w:val="00E119A0"/>
    <w:rsid w:val="00E26EAA"/>
    <w:rsid w:val="00E27CC3"/>
    <w:rsid w:val="00E30FCA"/>
    <w:rsid w:val="00E36F97"/>
    <w:rsid w:val="00E42057"/>
    <w:rsid w:val="00E44C4F"/>
    <w:rsid w:val="00E62BEE"/>
    <w:rsid w:val="00E63075"/>
    <w:rsid w:val="00E644BF"/>
    <w:rsid w:val="00E73A40"/>
    <w:rsid w:val="00E7476E"/>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2E0D"/>
    <w:rsid w:val="00F2061A"/>
    <w:rsid w:val="00F30057"/>
    <w:rsid w:val="00F34750"/>
    <w:rsid w:val="00F46114"/>
    <w:rsid w:val="00F47B3A"/>
    <w:rsid w:val="00F52F67"/>
    <w:rsid w:val="00F602C8"/>
    <w:rsid w:val="00F62595"/>
    <w:rsid w:val="00F7168A"/>
    <w:rsid w:val="00F71C13"/>
    <w:rsid w:val="00F77228"/>
    <w:rsid w:val="00F77457"/>
    <w:rsid w:val="00F90567"/>
    <w:rsid w:val="00F91352"/>
    <w:rsid w:val="00F922ED"/>
    <w:rsid w:val="00FB7ADE"/>
    <w:rsid w:val="00FC164F"/>
    <w:rsid w:val="00FD2036"/>
    <w:rsid w:val="00FD5BF9"/>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409423265">
      <w:bodyDiv w:val="1"/>
      <w:marLeft w:val="0"/>
      <w:marRight w:val="0"/>
      <w:marTop w:val="0"/>
      <w:marBottom w:val="0"/>
      <w:divBdr>
        <w:top w:val="none" w:sz="0" w:space="0" w:color="auto"/>
        <w:left w:val="none" w:sz="0" w:space="0" w:color="auto"/>
        <w:bottom w:val="none" w:sz="0" w:space="0" w:color="auto"/>
        <w:right w:val="none" w:sz="0" w:space="0" w:color="auto"/>
      </w:divBdr>
    </w:div>
    <w:div w:id="512575743">
      <w:bodyDiv w:val="1"/>
      <w:marLeft w:val="0"/>
      <w:marRight w:val="0"/>
      <w:marTop w:val="0"/>
      <w:marBottom w:val="0"/>
      <w:divBdr>
        <w:top w:val="none" w:sz="0" w:space="0" w:color="auto"/>
        <w:left w:val="none" w:sz="0" w:space="0" w:color="auto"/>
        <w:bottom w:val="none" w:sz="0" w:space="0" w:color="auto"/>
        <w:right w:val="none" w:sz="0" w:space="0" w:color="auto"/>
      </w:divBdr>
    </w:div>
    <w:div w:id="575280715">
      <w:bodyDiv w:val="1"/>
      <w:marLeft w:val="0"/>
      <w:marRight w:val="0"/>
      <w:marTop w:val="0"/>
      <w:marBottom w:val="0"/>
      <w:divBdr>
        <w:top w:val="none" w:sz="0" w:space="0" w:color="auto"/>
        <w:left w:val="none" w:sz="0" w:space="0" w:color="auto"/>
        <w:bottom w:val="none" w:sz="0" w:space="0" w:color="auto"/>
        <w:right w:val="none" w:sz="0" w:space="0" w:color="auto"/>
      </w:divBdr>
    </w:div>
    <w:div w:id="1342857524">
      <w:bodyDiv w:val="1"/>
      <w:marLeft w:val="0"/>
      <w:marRight w:val="0"/>
      <w:marTop w:val="0"/>
      <w:marBottom w:val="0"/>
      <w:divBdr>
        <w:top w:val="none" w:sz="0" w:space="0" w:color="auto"/>
        <w:left w:val="none" w:sz="0" w:space="0" w:color="auto"/>
        <w:bottom w:val="none" w:sz="0" w:space="0" w:color="auto"/>
        <w:right w:val="none" w:sz="0" w:space="0" w:color="auto"/>
      </w:divBdr>
    </w:div>
    <w:div w:id="1437559340">
      <w:bodyDiv w:val="1"/>
      <w:marLeft w:val="0"/>
      <w:marRight w:val="0"/>
      <w:marTop w:val="0"/>
      <w:marBottom w:val="0"/>
      <w:divBdr>
        <w:top w:val="none" w:sz="0" w:space="0" w:color="auto"/>
        <w:left w:val="none" w:sz="0" w:space="0" w:color="auto"/>
        <w:bottom w:val="none" w:sz="0" w:space="0" w:color="auto"/>
        <w:right w:val="none" w:sz="0" w:space="0" w:color="auto"/>
      </w:divBdr>
    </w:div>
    <w:div w:id="1565722340">
      <w:bodyDiv w:val="1"/>
      <w:marLeft w:val="0"/>
      <w:marRight w:val="0"/>
      <w:marTop w:val="0"/>
      <w:marBottom w:val="0"/>
      <w:divBdr>
        <w:top w:val="none" w:sz="0" w:space="0" w:color="auto"/>
        <w:left w:val="none" w:sz="0" w:space="0" w:color="auto"/>
        <w:bottom w:val="none" w:sz="0" w:space="0" w:color="auto"/>
        <w:right w:val="none" w:sz="0" w:space="0" w:color="auto"/>
      </w:divBdr>
    </w:div>
    <w:div w:id="1579905783">
      <w:bodyDiv w:val="1"/>
      <w:marLeft w:val="0"/>
      <w:marRight w:val="0"/>
      <w:marTop w:val="0"/>
      <w:marBottom w:val="0"/>
      <w:divBdr>
        <w:top w:val="none" w:sz="0" w:space="0" w:color="auto"/>
        <w:left w:val="none" w:sz="0" w:space="0" w:color="auto"/>
        <w:bottom w:val="none" w:sz="0" w:space="0" w:color="auto"/>
        <w:right w:val="none" w:sz="0" w:space="0" w:color="auto"/>
      </w:divBdr>
    </w:div>
    <w:div w:id="19349741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Tomt%20dokument%20med%20logo%20og%20adresse.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0</TotalTime>
  <Pages>1</Pages>
  <Words>433</Words>
  <Characters>2644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Lone Bjerregaard</dc:creator>
  <cp:lastModifiedBy>Caroline Christine Vincent Ahlefeldt-Laurvig</cp:lastModifiedBy>
  <cp:revision>3</cp:revision>
  <cp:lastPrinted>2019-08-08T08:36:00Z</cp:lastPrinted>
  <dcterms:created xsi:type="dcterms:W3CDTF">2019-11-22T12:02:00Z</dcterms:created>
  <dcterms:modified xsi:type="dcterms:W3CDTF">2019-11-22T12:06:00Z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angra</vt:lpwstr>
  </property>
  <property fmtid="{D5CDD505-2E9C-101B-9397-08002B2CF9AE}" pid="14" name="SD_UserprofileName">
    <vt:lpwstr>angra</vt:lpwstr>
  </property>
  <property fmtid="{D5CDD505-2E9C-101B-9397-08002B2CF9AE}" pid="15" name="SD_Office_OFF_ID">
    <vt:lpwstr>18</vt:lpwstr>
  </property>
  <property fmtid="{D5CDD505-2E9C-101B-9397-08002B2CF9AE}" pid="16" name="CurrentOfficeID">
    <vt:lpwstr>18</vt:lpwstr>
  </property>
  <property fmtid="{D5CDD505-2E9C-101B-9397-08002B2CF9AE}" pid="17" name="SD_Office_OFF_Organisation">
    <vt:lpwstr>MFVM</vt:lpwstr>
  </property>
  <property fmtid="{D5CDD505-2E9C-101B-9397-08002B2CF9AE}" pid="18" name="SD_Office_OFF_ArtworkDefinition">
    <vt:lpwstr>MFVM</vt:lpwstr>
  </property>
  <property fmtid="{D5CDD505-2E9C-101B-9397-08002B2CF9AE}" pid="19" name="SD_Office_OFF_LogoFileName">
    <vt:lpwstr>Departementet</vt:lpwstr>
  </property>
  <property fmtid="{D5CDD505-2E9C-101B-9397-08002B2CF9AE}" pid="20" name="SD_Office_OFF_Institution">
    <vt:lpwstr>Miljø- og Fødevareministeriet</vt:lpwstr>
  </property>
  <property fmtid="{D5CDD505-2E9C-101B-9397-08002B2CF9AE}" pid="21" name="SD_Office_OFF_Institution_EN">
    <vt:lpwstr>Ministry of Environment and Food</vt:lpwstr>
  </property>
  <property fmtid="{D5CDD505-2E9C-101B-9397-08002B2CF9AE}" pid="22" name="SD_Office_OFF_kontor">
    <vt:lpwstr>Eksport og Miljøtek</vt:lpwstr>
  </property>
  <property fmtid="{D5CDD505-2E9C-101B-9397-08002B2CF9AE}" pid="23" name="SD_Office_OFF_Department">
    <vt:lpwstr>Eksport og Miljøtek</vt:lpwstr>
  </property>
  <property fmtid="{D5CDD505-2E9C-101B-9397-08002B2CF9AE}" pid="24" name="SD_Office_OFF_Department_EN">
    <vt:lpwstr>Eksport og Miljøtek</vt:lpwstr>
  </property>
  <property fmtid="{D5CDD505-2E9C-101B-9397-08002B2CF9AE}" pid="25" name="SD_Office_OFF_Footertext">
    <vt:lpwstr/>
  </property>
  <property fmtid="{D5CDD505-2E9C-101B-9397-08002B2CF9AE}" pid="26" name="SD_Office_OFF_AddressA">
    <vt:lpwstr>Slotsholmsgade 12</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Slotsholmsgade 12</vt:lpwstr>
  </property>
  <property fmtid="{D5CDD505-2E9C-101B-9397-08002B2CF9AE}" pid="30" name="SD_Office_OFF_AddressD">
    <vt:lpwstr>1216</vt:lpwstr>
  </property>
  <property fmtid="{D5CDD505-2E9C-101B-9397-08002B2CF9AE}" pid="31" name="SD_Office_OFF_City">
    <vt:lpwstr>København K</vt:lpwstr>
  </property>
  <property fmtid="{D5CDD505-2E9C-101B-9397-08002B2CF9AE}" pid="32" name="SD_Office_OFF_City_EN">
    <vt:lpwstr>Copenhagen K Denmark</vt:lpwstr>
  </property>
  <property fmtid="{D5CDD505-2E9C-101B-9397-08002B2CF9AE}" pid="33" name="SD_Office_OFF_Phone">
    <vt:lpwstr>38 14 21 42</vt:lpwstr>
  </property>
  <property fmtid="{D5CDD505-2E9C-101B-9397-08002B2CF9AE}" pid="34" name="SD_Office_OFF_Phone_EN">
    <vt:lpwstr>+45 38 14 21 42</vt:lpwstr>
  </property>
  <property fmtid="{D5CDD505-2E9C-101B-9397-08002B2CF9AE}" pid="35" name="SD_Office_OFF_Fax">
    <vt:lpwstr>33 14 50 42</vt:lpwstr>
  </property>
  <property fmtid="{D5CDD505-2E9C-101B-9397-08002B2CF9AE}" pid="36" name="SD_Office_OFF_Fax_EN">
    <vt:lpwstr>+45 33 14 50 42</vt:lpwstr>
  </property>
  <property fmtid="{D5CDD505-2E9C-101B-9397-08002B2CF9AE}" pid="37" name="SD_Office_OFF_Email">
    <vt:lpwstr>mfvm@mfvm.dk</vt:lpwstr>
  </property>
  <property fmtid="{D5CDD505-2E9C-101B-9397-08002B2CF9AE}" pid="38" name="SD_Office_OFF_Web">
    <vt:lpwstr>www.mfvm.dk</vt:lpwstr>
  </property>
  <property fmtid="{D5CDD505-2E9C-101B-9397-08002B2CF9AE}" pid="39" name="SD_Office_OFF_CVR">
    <vt:lpwstr>12854358</vt:lpwstr>
  </property>
  <property fmtid="{D5CDD505-2E9C-101B-9397-08002B2CF9AE}" pid="40" name="SD_Office_OFF_EAN">
    <vt:lpwstr>5798000862005</vt:lpwstr>
  </property>
  <property fmtid="{D5CDD505-2E9C-101B-9397-08002B2CF9AE}" pid="41" name="SD_Office_OFF_EAN_EN">
    <vt:lpwstr>5798000862005</vt:lpwstr>
  </property>
  <property fmtid="{D5CDD505-2E9C-101B-9397-08002B2CF9AE}" pid="42" name="SD_Office_OFF_ColorTheme">
    <vt:lpwstr>MFVM - Departementet_Koncern</vt:lpwstr>
  </property>
  <property fmtid="{D5CDD505-2E9C-101B-9397-08002B2CF9AE}" pid="43" name="LastCompletedArtworkDefinition">
    <vt:lpwstr>MFVM</vt:lpwstr>
  </property>
  <property fmtid="{D5CDD505-2E9C-101B-9397-08002B2CF9AE}" pid="44" name="USR_Name">
    <vt:lpwstr>Anna Maria Gran</vt:lpwstr>
  </property>
  <property fmtid="{D5CDD505-2E9C-101B-9397-08002B2CF9AE}" pid="45" name="USR_Initials">
    <vt:lpwstr>ANGRA</vt:lpwstr>
  </property>
  <property fmtid="{D5CDD505-2E9C-101B-9397-08002B2CF9AE}" pid="46" name="USR_Title">
    <vt:lpwstr>Specialkonsulent</vt:lpwstr>
  </property>
  <property fmtid="{D5CDD505-2E9C-101B-9397-08002B2CF9AE}" pid="47" name="USR_DirectPhone">
    <vt:lpwstr>+45 72 54 42 57</vt:lpwstr>
  </property>
  <property fmtid="{D5CDD505-2E9C-101B-9397-08002B2CF9AE}" pid="48" name="USR_Mobile">
    <vt:lpwstr>+45 91 32 95 68</vt:lpwstr>
  </property>
  <property fmtid="{D5CDD505-2E9C-101B-9397-08002B2CF9AE}" pid="49" name="USR_Email">
    <vt:lpwstr>angra@mfvm.dk</vt:lpwstr>
  </property>
  <property fmtid="{D5CDD505-2E9C-101B-9397-08002B2CF9AE}" pid="50" name="DocumentInfoFinished">
    <vt:lpwstr>True</vt:lpwstr>
  </property>
  <property fmtid="{D5CDD505-2E9C-101B-9397-08002B2CF9AE}" pid="51" name="ContentRemapped">
    <vt:lpwstr>true</vt:lpwstr>
  </property>
</Properties>
</file>