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A3258" w14:textId="77777777" w:rsidR="00DC7DEE" w:rsidRDefault="00DC7DEE" w:rsidP="00DA3F3D">
      <w:pPr>
        <w:spacing w:line="240" w:lineRule="auto"/>
      </w:pPr>
      <w:r>
        <w:separator/>
      </w:r>
    </w:p>
  </w:endnote>
  <w:endnote w:type="continuationSeparator" w:id="0">
    <w:p w14:paraId="27D107F2" w14:textId="77777777" w:rsidR="00DC7DEE" w:rsidRDefault="00DC7DEE"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3B2358">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3B2358">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DBD1C" w14:textId="77777777" w:rsidR="00DC7DEE" w:rsidRDefault="00DC7DEE" w:rsidP="00DA3F3D">
      <w:pPr>
        <w:spacing w:line="240" w:lineRule="auto"/>
      </w:pPr>
      <w:r>
        <w:separator/>
      </w:r>
    </w:p>
  </w:footnote>
  <w:footnote w:type="continuationSeparator" w:id="0">
    <w:p w14:paraId="2DC5E9E7" w14:textId="77777777" w:rsidR="00DC7DEE" w:rsidRDefault="00DC7DEE"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19504F7D" w:rsidR="00E11186" w:rsidRDefault="00E1118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39063644" w:rsidR="00E11186" w:rsidRDefault="00E1118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4D8F9B94" w:rsidR="00E11186" w:rsidRDefault="00E1118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15162"/>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358"/>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C7DEE"/>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50D779-19CA-4FCA-BEEB-6C21A6D1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47AB4C74</Template>
  <TotalTime>0</TotalTime>
  <Pages>4</Pages>
  <Words>5661</Words>
  <Characters>34536</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2019-11-12T11:41:00Z</dcterms:created>
  <dcterms:modified xsi:type="dcterms:W3CDTF">2019-11-12T11:41:00Z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