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35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2240"/>
      </w:tblGrid>
      <w:tr w:rsidR="005271D6" w:rsidRPr="00EC51B4" w14:paraId="4AF170BB" w14:textId="77777777" w:rsidTr="00AF4892">
        <w:trPr>
          <w:cantSplit/>
          <w:trHeight w:val="2600"/>
        </w:trPr>
        <w:tc>
          <w:tcPr>
            <w:tcW w:w="7116" w:type="dxa"/>
          </w:tcPr>
          <w:p w14:paraId="42D5E257" w14:textId="77777777" w:rsidR="007F73B3" w:rsidRPr="00EC51B4" w:rsidRDefault="007F73B3" w:rsidP="00353FAA"/>
        </w:tc>
        <w:tc>
          <w:tcPr>
            <w:tcW w:w="2240" w:type="dxa"/>
          </w:tcPr>
          <w:p w14:paraId="2258FD12" w14:textId="77777777" w:rsidR="005271D6" w:rsidRPr="00EC51B4" w:rsidRDefault="005271D6" w:rsidP="00557A69"/>
        </w:tc>
      </w:tr>
      <w:tr w:rsidR="00541D1B" w:rsidRPr="00EC51B4" w14:paraId="4F5B0103" w14:textId="77777777" w:rsidTr="00AF4892">
        <w:trPr>
          <w:cantSplit/>
        </w:trPr>
        <w:tc>
          <w:tcPr>
            <w:tcW w:w="7116" w:type="dxa"/>
          </w:tcPr>
          <w:p w14:paraId="3463ADD0" w14:textId="04830DEB" w:rsidR="00541D1B" w:rsidRPr="00EC51B4" w:rsidRDefault="00504FF2" w:rsidP="00541D1B">
            <w:pPr>
              <w:rPr>
                <w:b/>
              </w:rPr>
            </w:pPr>
            <w:r w:rsidRPr="00EC51B4">
              <w:rPr>
                <w:b/>
              </w:rPr>
              <w:t xml:space="preserve">Specification of Requirements regarding </w:t>
            </w:r>
            <w:r w:rsidRPr="00EC51B4">
              <w:rPr>
                <w:rStyle w:val="Sidetal"/>
                <w:b/>
              </w:rPr>
              <w:t>evaluation of efficacy studies of wood protection products under the Biocidal Products Regulation</w:t>
            </w:r>
          </w:p>
        </w:tc>
        <w:tc>
          <w:tcPr>
            <w:tcW w:w="2240" w:type="dxa"/>
          </w:tcPr>
          <w:p w14:paraId="6F0FE1EC" w14:textId="77777777" w:rsidR="00541D1B" w:rsidRPr="00EC51B4" w:rsidRDefault="00541D1B" w:rsidP="00557A69"/>
        </w:tc>
      </w:tr>
    </w:tbl>
    <w:p w14:paraId="5F375DD0" w14:textId="77777777" w:rsidR="00504FF2" w:rsidRPr="00EC51B4" w:rsidRDefault="00504FF2" w:rsidP="00504FF2">
      <w:pPr>
        <w:pStyle w:val="Overskrift1"/>
      </w:pPr>
      <w:r w:rsidRPr="00EC51B4">
        <w:t>Introduction</w:t>
      </w:r>
    </w:p>
    <w:p w14:paraId="1F071E23" w14:textId="6CC7EA5D" w:rsidR="000B175F" w:rsidRPr="00EC51B4" w:rsidRDefault="000B175F" w:rsidP="000B175F">
      <w:r w:rsidRPr="00EC51B4">
        <w:t>The Danish Environmental Protection Agency (DEPA/Miljøstyrelsen) is the Danish Competent Authority under the Biocidal Product Regulation (Regulation (EU) No 528/2012 as amended by Commission Delegated Regulation (EU) 2021/807 of 10 March 2021) (hereinafter referred to as BPR) when it comes to evaluation of biocidal products in Denmark, as well as certain active substances at the EU-level.</w:t>
      </w:r>
    </w:p>
    <w:p w14:paraId="6F1BF6D5" w14:textId="77777777" w:rsidR="000B175F" w:rsidRPr="00EC51B4" w:rsidRDefault="000B175F" w:rsidP="000B175F"/>
    <w:p w14:paraId="0C882296" w14:textId="1ED94C95" w:rsidR="00504FF2" w:rsidRPr="00EC51B4" w:rsidRDefault="000B175F" w:rsidP="000B175F">
      <w:r w:rsidRPr="00EC51B4">
        <w:t>As a part of the evaluation, the efficacy of the biocidal product must be assessed. DEPA has drawn upon external experts regarding the efficacy of wood protection products (product type 8 under the BPR) the last few years. This contract is up for renewal for 2022-2023, with the possibility for an extension for an additional two years.</w:t>
      </w:r>
    </w:p>
    <w:p w14:paraId="5DA3965A" w14:textId="77777777" w:rsidR="00504FF2" w:rsidRPr="00EC51B4" w:rsidRDefault="00504FF2" w:rsidP="00504FF2">
      <w:pPr>
        <w:pStyle w:val="Overskrift1"/>
      </w:pPr>
      <w:r w:rsidRPr="00EC51B4">
        <w:t>Background</w:t>
      </w:r>
    </w:p>
    <w:p w14:paraId="2733DBEC" w14:textId="7FA7EA8F" w:rsidR="00366033" w:rsidRPr="00090474" w:rsidRDefault="00504FF2" w:rsidP="00D53F46">
      <w:pPr>
        <w:pStyle w:val="Overskrift1"/>
        <w:rPr>
          <w:rFonts w:asciiTheme="minorHAnsi" w:hAnsiTheme="minorHAnsi" w:cs="Times New Roman"/>
          <w:b w:val="0"/>
          <w:sz w:val="20"/>
          <w:szCs w:val="20"/>
        </w:rPr>
      </w:pPr>
      <w:r w:rsidRPr="00090474">
        <w:rPr>
          <w:rFonts w:cs="Times New Roman"/>
          <w:b w:val="0"/>
          <w:bCs w:val="0"/>
          <w:sz w:val="20"/>
          <w:szCs w:val="20"/>
        </w:rPr>
        <w:t xml:space="preserve">The contract will be a framework agreement that contain product evaluations for national and Union applications where Denmark is evaluating Member State, as well as mutual recognitions of evaluations that have been conducted by other member states. </w:t>
      </w:r>
      <w:r w:rsidR="00366033" w:rsidRPr="00090474">
        <w:rPr>
          <w:b w:val="0"/>
          <w:sz w:val="20"/>
          <w:szCs w:val="20"/>
        </w:rPr>
        <w:t>It is also expected that some assistance regarding the renewals of the active substances IPBC and Tebuconazol relevant for PT 8, including follow-up questions regarding the evaluation of reference products for the active substances, will be a part of the contract.</w:t>
      </w:r>
      <w:r w:rsidR="00366033" w:rsidRPr="00090474">
        <w:rPr>
          <w:rFonts w:asciiTheme="minorHAnsi" w:hAnsiTheme="minorHAnsi" w:cs="Times New Roman"/>
          <w:b w:val="0"/>
          <w:sz w:val="20"/>
          <w:szCs w:val="20"/>
        </w:rPr>
        <w:t xml:space="preserve"> </w:t>
      </w:r>
    </w:p>
    <w:p w14:paraId="67DE78D7" w14:textId="77777777" w:rsidR="00D53F46" w:rsidRPr="00090474" w:rsidRDefault="00D53F46" w:rsidP="00D53F46"/>
    <w:p w14:paraId="1573D19A" w14:textId="77777777" w:rsidR="00504FF2" w:rsidRPr="00090474" w:rsidRDefault="00504FF2" w:rsidP="00504FF2">
      <w:pPr>
        <w:pStyle w:val="Overskrift1"/>
        <w:rPr>
          <w:rFonts w:cs="Times New Roman"/>
          <w:b w:val="0"/>
          <w:bCs w:val="0"/>
          <w:vanish/>
          <w:sz w:val="20"/>
          <w:szCs w:val="20"/>
          <w:specVanish/>
        </w:rPr>
      </w:pPr>
    </w:p>
    <w:p w14:paraId="6A4BE188" w14:textId="138175B7" w:rsidR="000B175F" w:rsidRPr="00090474" w:rsidRDefault="004E23CC" w:rsidP="000B175F">
      <w:pPr>
        <w:pStyle w:val="Overskrift1"/>
        <w:rPr>
          <w:rFonts w:cs="Times New Roman"/>
          <w:b w:val="0"/>
          <w:bCs w:val="0"/>
          <w:sz w:val="20"/>
          <w:szCs w:val="20"/>
        </w:rPr>
      </w:pPr>
      <w:r w:rsidRPr="00090474">
        <w:rPr>
          <w:rFonts w:asciiTheme="minorHAnsi" w:hAnsiTheme="minorHAnsi"/>
          <w:b w:val="0"/>
          <w:sz w:val="20"/>
          <w:szCs w:val="20"/>
        </w:rPr>
        <w:t xml:space="preserve"> </w:t>
      </w:r>
      <w:r w:rsidR="000B175F" w:rsidRPr="00090474">
        <w:rPr>
          <w:rFonts w:asciiTheme="minorHAnsi" w:hAnsiTheme="minorHAnsi"/>
          <w:b w:val="0"/>
          <w:sz w:val="20"/>
          <w:szCs w:val="20"/>
        </w:rPr>
        <w:t>The evaluations involves the implementation of efficacy assessments of wood preservatives according to the current guidance in "Guidance on the BPR: Volume II Efficacy, Assessment + Evaluation (Parts B+C), version 3" from April 2018</w:t>
      </w:r>
      <w:r w:rsidR="00504FF2" w:rsidRPr="00090474">
        <w:rPr>
          <w:rFonts w:cs="Times New Roman"/>
          <w:b w:val="0"/>
          <w:bCs w:val="0"/>
          <w:sz w:val="20"/>
          <w:szCs w:val="20"/>
        </w:rPr>
        <w:t>.</w:t>
      </w:r>
    </w:p>
    <w:p w14:paraId="173CCA61" w14:textId="53B88ED2" w:rsidR="00504FF2" w:rsidRPr="00090474" w:rsidRDefault="00504FF2" w:rsidP="000B175F">
      <w:pPr>
        <w:pStyle w:val="Overskrift1"/>
        <w:rPr>
          <w:rFonts w:cs="Times New Roman"/>
          <w:b w:val="0"/>
          <w:bCs w:val="0"/>
          <w:sz w:val="20"/>
          <w:szCs w:val="20"/>
        </w:rPr>
      </w:pPr>
      <w:r w:rsidRPr="00090474">
        <w:rPr>
          <w:rFonts w:cs="Times New Roman"/>
          <w:b w:val="0"/>
          <w:bCs w:val="0"/>
          <w:sz w:val="20"/>
          <w:szCs w:val="20"/>
        </w:rPr>
        <w:t xml:space="preserve"> </w:t>
      </w:r>
    </w:p>
    <w:p w14:paraId="122C9F04" w14:textId="77777777" w:rsidR="00504FF2" w:rsidRPr="00090474" w:rsidRDefault="00504FF2" w:rsidP="00504FF2">
      <w:pPr>
        <w:pStyle w:val="Overskrift1"/>
        <w:rPr>
          <w:rFonts w:cs="Times New Roman"/>
          <w:b w:val="0"/>
          <w:bCs w:val="0"/>
          <w:sz w:val="20"/>
          <w:szCs w:val="20"/>
        </w:rPr>
      </w:pPr>
      <w:r w:rsidRPr="00090474">
        <w:rPr>
          <w:rFonts w:cs="Times New Roman"/>
          <w:b w:val="0"/>
          <w:bCs w:val="0"/>
          <w:sz w:val="20"/>
          <w:szCs w:val="20"/>
        </w:rPr>
        <w:t xml:space="preserve">Denmark receives applications for EU approvals, national approvals and mutual recognition of wood preservatives covered by Regulation 528/2012 of 1 September 2013, Product Type 8. All types of applications may regard a single product or a product family, consisting of several products. </w:t>
      </w:r>
    </w:p>
    <w:p w14:paraId="54DD23A2" w14:textId="77777777" w:rsidR="00504FF2" w:rsidRPr="00EC51B4" w:rsidRDefault="00504FF2" w:rsidP="00504FF2">
      <w:pPr>
        <w:pStyle w:val="Overskrift1"/>
        <w:rPr>
          <w:rFonts w:cs="Times New Roman"/>
          <w:b w:val="0"/>
          <w:bCs w:val="0"/>
          <w:sz w:val="20"/>
          <w:szCs w:val="20"/>
        </w:rPr>
      </w:pPr>
    </w:p>
    <w:p w14:paraId="42ACED1F" w14:textId="77777777" w:rsidR="00504FF2" w:rsidRPr="00EC51B4" w:rsidRDefault="00504FF2" w:rsidP="00504FF2">
      <w:pPr>
        <w:pStyle w:val="Overskrift1"/>
        <w:rPr>
          <w:rFonts w:cs="Times New Roman"/>
          <w:b w:val="0"/>
          <w:bCs w:val="0"/>
          <w:sz w:val="20"/>
          <w:szCs w:val="20"/>
        </w:rPr>
      </w:pPr>
      <w:r w:rsidRPr="00EC51B4">
        <w:rPr>
          <w:rFonts w:cs="Times New Roman"/>
          <w:b w:val="0"/>
          <w:bCs w:val="0"/>
          <w:sz w:val="20"/>
          <w:szCs w:val="20"/>
        </w:rPr>
        <w:t xml:space="preserve">Another part of the evaluation that may be necessary is a comparative assessment report for products including active substances that fulfil the exclusion criteria in article 5 of the BPR, or candidates for </w:t>
      </w:r>
      <w:r w:rsidRPr="00EC51B4">
        <w:rPr>
          <w:rFonts w:cs="Times New Roman"/>
          <w:b w:val="0"/>
          <w:bCs w:val="0"/>
          <w:sz w:val="20"/>
          <w:szCs w:val="20"/>
        </w:rPr>
        <w:lastRenderedPageBreak/>
        <w:t>substitution as described in article 10. In these ev</w:t>
      </w:r>
      <w:bookmarkStart w:id="0" w:name="_GoBack"/>
      <w:bookmarkEnd w:id="0"/>
      <w:r w:rsidRPr="00EC51B4">
        <w:rPr>
          <w:rFonts w:cs="Times New Roman"/>
          <w:b w:val="0"/>
          <w:bCs w:val="0"/>
          <w:sz w:val="20"/>
          <w:szCs w:val="20"/>
        </w:rPr>
        <w:t>aluations the efficacy experts will be expected to review the claims and documentations made by the applicant.</w:t>
      </w:r>
    </w:p>
    <w:p w14:paraId="7F118DFB" w14:textId="77777777" w:rsidR="00504FF2" w:rsidRPr="00EC51B4" w:rsidRDefault="00504FF2" w:rsidP="00504FF2">
      <w:pPr>
        <w:pStyle w:val="Overskrift1"/>
        <w:rPr>
          <w:rFonts w:cs="Times New Roman"/>
          <w:b w:val="0"/>
          <w:bCs w:val="0"/>
          <w:sz w:val="20"/>
          <w:szCs w:val="20"/>
        </w:rPr>
      </w:pPr>
    </w:p>
    <w:p w14:paraId="5F80E093" w14:textId="77777777" w:rsidR="00504FF2" w:rsidRPr="00EC51B4" w:rsidRDefault="00504FF2" w:rsidP="00504FF2">
      <w:pPr>
        <w:pStyle w:val="Overskrift1"/>
      </w:pPr>
    </w:p>
    <w:p w14:paraId="6E34541F" w14:textId="0907D1CC" w:rsidR="00504FF2" w:rsidRPr="00EC51B4" w:rsidRDefault="00504FF2" w:rsidP="00504FF2">
      <w:pPr>
        <w:pStyle w:val="Overskrift1"/>
      </w:pPr>
      <w:r w:rsidRPr="00EC51B4">
        <w:t>Delivery</w:t>
      </w:r>
      <w:r w:rsidR="00215A5F">
        <w:t xml:space="preserve"> – minimum requirements</w:t>
      </w:r>
    </w:p>
    <w:p w14:paraId="688C189A" w14:textId="59819614" w:rsidR="00504FF2" w:rsidRPr="00EC51B4" w:rsidRDefault="00504FF2" w:rsidP="00504FF2">
      <w:pPr>
        <w:pStyle w:val="Overskrift1"/>
        <w:rPr>
          <w:rFonts w:cs="Times New Roman"/>
          <w:b w:val="0"/>
          <w:bCs w:val="0"/>
          <w:sz w:val="20"/>
          <w:szCs w:val="20"/>
        </w:rPr>
      </w:pPr>
      <w:r w:rsidRPr="00EC51B4">
        <w:rPr>
          <w:rFonts w:cs="Times New Roman"/>
          <w:b w:val="0"/>
          <w:bCs w:val="0"/>
          <w:sz w:val="20"/>
          <w:szCs w:val="20"/>
        </w:rPr>
        <w:t>The supplier undertakes to perform the efficiency assessments that the client specifically requests. The contracting authority is not required to submit applications to the supplier. Since the number of evaluations contained by the contract is dependent on the number of applications received by DEPA the val</w:t>
      </w:r>
      <w:r w:rsidR="004843A0" w:rsidRPr="00EC51B4">
        <w:rPr>
          <w:rFonts w:cs="Times New Roman"/>
          <w:b w:val="0"/>
          <w:bCs w:val="0"/>
          <w:sz w:val="20"/>
          <w:szCs w:val="20"/>
        </w:rPr>
        <w:t>ue of the contract cannot</w:t>
      </w:r>
      <w:r w:rsidRPr="00EC51B4">
        <w:rPr>
          <w:rFonts w:cs="Times New Roman"/>
          <w:b w:val="0"/>
          <w:bCs w:val="0"/>
          <w:sz w:val="20"/>
          <w:szCs w:val="20"/>
        </w:rPr>
        <w:t xml:space="preserve"> be fixed and can</w:t>
      </w:r>
      <w:r w:rsidR="004843A0" w:rsidRPr="00EC51B4">
        <w:rPr>
          <w:rFonts w:cs="Times New Roman"/>
          <w:b w:val="0"/>
          <w:bCs w:val="0"/>
          <w:sz w:val="20"/>
          <w:szCs w:val="20"/>
        </w:rPr>
        <w:t>not</w:t>
      </w:r>
      <w:r w:rsidRPr="00EC51B4">
        <w:rPr>
          <w:rFonts w:cs="Times New Roman"/>
          <w:b w:val="0"/>
          <w:bCs w:val="0"/>
          <w:sz w:val="20"/>
          <w:szCs w:val="20"/>
        </w:rPr>
        <w:t xml:space="preserve"> be guaranteed. </w:t>
      </w:r>
    </w:p>
    <w:p w14:paraId="6198C926" w14:textId="77777777" w:rsidR="00504FF2" w:rsidRPr="00EC51B4" w:rsidRDefault="00504FF2" w:rsidP="00504FF2"/>
    <w:p w14:paraId="7841C403" w14:textId="25BDC2A5" w:rsidR="0045393B" w:rsidRDefault="00504FF2" w:rsidP="00504FF2">
      <w:r w:rsidRPr="00EC51B4">
        <w:t>The Supplier undertakes to provide a completeness check of the application upon request. The individual efficacy assessment should be provided within a period</w:t>
      </w:r>
      <w:r w:rsidR="0045393B">
        <w:t xml:space="preserve"> as</w:t>
      </w:r>
      <w:r w:rsidR="002E2B92">
        <w:t xml:space="preserve"> </w:t>
      </w:r>
      <w:r w:rsidR="0045393B">
        <w:t>specified by DEPA</w:t>
      </w:r>
      <w:r w:rsidR="002E2B92">
        <w:t xml:space="preserve"> </w:t>
      </w:r>
      <w:r w:rsidR="0045393B">
        <w:t>a</w:t>
      </w:r>
      <w:r w:rsidRPr="00EC51B4">
        <w:t xml:space="preserve">fter a written request and relevant documentation has been provided by DEPA. </w:t>
      </w:r>
    </w:p>
    <w:p w14:paraId="3D69A4A6" w14:textId="5FD1A1C8" w:rsidR="00504FF2" w:rsidRDefault="0045393B" w:rsidP="00504FF2">
      <w:r>
        <w:t xml:space="preserve">Below the maximum allowed timeline </w:t>
      </w:r>
      <w:r w:rsidR="00BD49EA">
        <w:t xml:space="preserve">is set for each request type. </w:t>
      </w:r>
      <w:r w:rsidR="00504FF2" w:rsidRPr="00EC51B4">
        <w:t xml:space="preserve">A deviation from the </w:t>
      </w:r>
      <w:r w:rsidR="00BD49EA">
        <w:t>below</w:t>
      </w:r>
      <w:r w:rsidR="00BD49EA" w:rsidRPr="00EC51B4">
        <w:t xml:space="preserve"> </w:t>
      </w:r>
      <w:r w:rsidR="00504FF2" w:rsidRPr="00EC51B4">
        <w:t>deadline</w:t>
      </w:r>
      <w:r w:rsidR="00BD49EA">
        <w:t>s</w:t>
      </w:r>
      <w:r w:rsidR="00504FF2" w:rsidRPr="00EC51B4">
        <w:t xml:space="preserve"> may be agreed between the parties. </w:t>
      </w:r>
    </w:p>
    <w:p w14:paraId="0A90EA4B" w14:textId="221DC0BF" w:rsidR="001D3072" w:rsidRDefault="001D3072" w:rsidP="00504FF2"/>
    <w:p w14:paraId="2F4F1703" w14:textId="3C653125" w:rsidR="001D3072" w:rsidRDefault="0046538F" w:rsidP="00504FF2">
      <w:r>
        <w:t>The maximum t</w:t>
      </w:r>
      <w:r w:rsidR="001D3072">
        <w:t>imelines for representative requests.</w:t>
      </w:r>
    </w:p>
    <w:p w14:paraId="14DE2EB3" w14:textId="77777777" w:rsidR="0046538F" w:rsidRDefault="0046538F" w:rsidP="00504FF2"/>
    <w:p w14:paraId="39F35DBB" w14:textId="400677BB" w:rsidR="001D3072" w:rsidRDefault="001D3072" w:rsidP="00945B8A">
      <w:pPr>
        <w:pStyle w:val="Opstilling-punkttegn"/>
      </w:pPr>
      <w:r>
        <w:t>Completeness check of the applications is 14 days.</w:t>
      </w:r>
    </w:p>
    <w:p w14:paraId="532C0B1D" w14:textId="77777777" w:rsidR="008B703B" w:rsidRDefault="008B703B" w:rsidP="00945B8A">
      <w:pPr>
        <w:pStyle w:val="Opstilling-punkttegn"/>
        <w:numPr>
          <w:ilvl w:val="0"/>
          <w:numId w:val="0"/>
        </w:numPr>
        <w:ind w:left="454"/>
      </w:pPr>
    </w:p>
    <w:p w14:paraId="22070E65" w14:textId="61C23811" w:rsidR="008B703B" w:rsidRDefault="008B703B" w:rsidP="00945B8A">
      <w:pPr>
        <w:pStyle w:val="Opstilling-punkttegn"/>
      </w:pPr>
      <w:r>
        <w:t>Efficacy assessments w</w:t>
      </w:r>
      <w:r w:rsidRPr="00EC51B4">
        <w:t>he</w:t>
      </w:r>
      <w:r>
        <w:t>n Denmark is evaluating Member of the application is 45 days for applications under the simplified procedure, or for minor changes.</w:t>
      </w:r>
    </w:p>
    <w:p w14:paraId="123BEC39" w14:textId="77777777" w:rsidR="008B703B" w:rsidRDefault="008B703B" w:rsidP="00945B8A">
      <w:pPr>
        <w:pStyle w:val="Opstilling-punkttegn"/>
        <w:numPr>
          <w:ilvl w:val="0"/>
          <w:numId w:val="0"/>
        </w:numPr>
        <w:ind w:left="454"/>
      </w:pPr>
    </w:p>
    <w:p w14:paraId="3B66FB06" w14:textId="304B6E5E" w:rsidR="008B703B" w:rsidRDefault="008B703B" w:rsidP="00945B8A">
      <w:pPr>
        <w:pStyle w:val="Opstilling-punkttegn"/>
      </w:pPr>
      <w:r>
        <w:t>Efficacy assessments w</w:t>
      </w:r>
      <w:r w:rsidRPr="00EC51B4">
        <w:t>he</w:t>
      </w:r>
      <w:r>
        <w:t>n Denmark is evaluating Member of the application is 60 days for national applications or union applications.</w:t>
      </w:r>
    </w:p>
    <w:p w14:paraId="03BFF71C" w14:textId="77777777" w:rsidR="008B703B" w:rsidRDefault="008B703B" w:rsidP="00945B8A">
      <w:pPr>
        <w:pStyle w:val="Opstilling-punkttegn"/>
        <w:numPr>
          <w:ilvl w:val="0"/>
          <w:numId w:val="0"/>
        </w:numPr>
        <w:ind w:left="454"/>
      </w:pPr>
    </w:p>
    <w:p w14:paraId="314FA45A" w14:textId="304F4AFD" w:rsidR="00BD49EA" w:rsidRDefault="00BD49EA" w:rsidP="00945B8A">
      <w:pPr>
        <w:pStyle w:val="Opstilling-punkttegn"/>
      </w:pPr>
      <w:r>
        <w:rPr>
          <w:u w:val="single"/>
        </w:rPr>
        <w:t>C</w:t>
      </w:r>
      <w:r w:rsidRPr="00EC51B4">
        <w:t>ommenting on evaluation of a Union authorisation pe</w:t>
      </w:r>
      <w:r>
        <w:t>rformed by another member state is 7 days.</w:t>
      </w:r>
    </w:p>
    <w:p w14:paraId="385E3399" w14:textId="30630F30" w:rsidR="00BD49EA" w:rsidRDefault="00BD49EA" w:rsidP="00945B8A">
      <w:pPr>
        <w:pStyle w:val="Opstilling-punkttegn"/>
        <w:numPr>
          <w:ilvl w:val="0"/>
          <w:numId w:val="0"/>
        </w:numPr>
        <w:ind w:left="454"/>
      </w:pPr>
    </w:p>
    <w:p w14:paraId="3F06A2F2" w14:textId="08384C94" w:rsidR="00BD49EA" w:rsidRDefault="00BD49EA" w:rsidP="00945B8A">
      <w:pPr>
        <w:pStyle w:val="Opstilling-punkttegn"/>
      </w:pPr>
      <w:r>
        <w:t>Commenting on evaluations performed by other member states in mutual recognition in sequence or is 30 days,</w:t>
      </w:r>
    </w:p>
    <w:p w14:paraId="74F62ADB" w14:textId="0CCB8159" w:rsidR="00BE2EBC" w:rsidRDefault="00BE2EBC" w:rsidP="00945B8A">
      <w:pPr>
        <w:pStyle w:val="Opstilling-punkttegn"/>
        <w:numPr>
          <w:ilvl w:val="0"/>
          <w:numId w:val="0"/>
        </w:numPr>
        <w:ind w:left="454"/>
      </w:pPr>
    </w:p>
    <w:p w14:paraId="0623C812" w14:textId="471342A1" w:rsidR="00BE2EBC" w:rsidRDefault="00BE2EBC" w:rsidP="00945B8A">
      <w:pPr>
        <w:pStyle w:val="Opstilling-punkttegn"/>
      </w:pPr>
      <w:r>
        <w:t>Commenting on evaluations performed by other member states in mutual recognition in parallel is 20 days,</w:t>
      </w:r>
    </w:p>
    <w:p w14:paraId="762DE289" w14:textId="77777777" w:rsidR="00BE2EBC" w:rsidRDefault="00BE2EBC" w:rsidP="00945B8A">
      <w:pPr>
        <w:pStyle w:val="Opstilling-punkttegn"/>
        <w:numPr>
          <w:ilvl w:val="0"/>
          <w:numId w:val="0"/>
        </w:numPr>
        <w:ind w:left="454"/>
      </w:pPr>
    </w:p>
    <w:p w14:paraId="5E3808E2" w14:textId="77777777" w:rsidR="00BD49EA" w:rsidRDefault="00BD49EA" w:rsidP="00945B8A">
      <w:pPr>
        <w:pStyle w:val="Opstilling-punkttegn"/>
      </w:pPr>
      <w:r>
        <w:t>When a commenting process is initiated by a member state (Denmark or another country), the standard operating procedure is to be follow. The timelines for the individual task could be as low as 1-7 days.</w:t>
      </w:r>
    </w:p>
    <w:p w14:paraId="7432919C" w14:textId="77777777" w:rsidR="00BD49EA" w:rsidRDefault="00BD49EA" w:rsidP="00504FF2"/>
    <w:p w14:paraId="250C603C" w14:textId="535DC64A" w:rsidR="00504FF2" w:rsidRPr="00EC51B4" w:rsidRDefault="00504FF2" w:rsidP="00504FF2">
      <w:r w:rsidRPr="00EC51B4">
        <w:t xml:space="preserve">The efficacy assessment </w:t>
      </w:r>
      <w:r w:rsidR="00945B8A">
        <w:t>must</w:t>
      </w:r>
      <w:r w:rsidR="00945B8A" w:rsidRPr="00EC51B4">
        <w:t xml:space="preserve"> </w:t>
      </w:r>
      <w:r w:rsidRPr="00EC51B4">
        <w:t xml:space="preserve">be delivered to DEPA in English by </w:t>
      </w:r>
      <w:r w:rsidR="00BA7643">
        <w:t xml:space="preserve">a secure method that will be specified by the Danish EPA, eg. </w:t>
      </w:r>
      <w:r w:rsidR="00945B8A">
        <w:t>Secure</w:t>
      </w:r>
      <w:r w:rsidR="00BA7643">
        <w:t xml:space="preserve"> </w:t>
      </w:r>
      <w:r w:rsidRPr="00EC51B4">
        <w:t>email</w:t>
      </w:r>
      <w:r w:rsidR="00BA7643">
        <w:t>, cloud solution or another other solution</w:t>
      </w:r>
      <w:r w:rsidR="005C105D">
        <w:t>.</w:t>
      </w:r>
    </w:p>
    <w:p w14:paraId="66D49CF6" w14:textId="77777777" w:rsidR="00504FF2" w:rsidRPr="00EC51B4" w:rsidRDefault="00504FF2" w:rsidP="00504FF2"/>
    <w:p w14:paraId="059667EE" w14:textId="77777777" w:rsidR="00504FF2" w:rsidRPr="00EC51B4" w:rsidRDefault="00504FF2" w:rsidP="00504FF2">
      <w:r w:rsidRPr="00EC51B4">
        <w:t>When Denmark is evaluating Member State:</w:t>
      </w:r>
    </w:p>
    <w:p w14:paraId="761DD1C6" w14:textId="19061A3E" w:rsidR="00504FF2" w:rsidRPr="00EC51B4" w:rsidRDefault="00504FF2" w:rsidP="00504FF2">
      <w:r w:rsidRPr="00EC51B4">
        <w:t>The form should be in a previously agreed template that should cover the claims made by the applicant, as well as the assessment made by the supplier. See Annex 1</w:t>
      </w:r>
      <w:r w:rsidR="004843A0" w:rsidRPr="00EC51B4">
        <w:t xml:space="preserve"> A</w:t>
      </w:r>
      <w:r w:rsidRPr="00EC51B4">
        <w:t xml:space="preserve"> for suggestions.</w:t>
      </w:r>
    </w:p>
    <w:p w14:paraId="7105A199" w14:textId="77777777" w:rsidR="00504FF2" w:rsidRPr="00EC51B4" w:rsidRDefault="00504FF2" w:rsidP="00504FF2"/>
    <w:p w14:paraId="0015506A" w14:textId="77777777" w:rsidR="00504FF2" w:rsidRPr="00EC51B4" w:rsidRDefault="00504FF2" w:rsidP="00504FF2">
      <w:r w:rsidRPr="00EC51B4">
        <w:t>For mutual recognitions:</w:t>
      </w:r>
    </w:p>
    <w:p w14:paraId="4CBAA04A" w14:textId="77777777" w:rsidR="00504FF2" w:rsidRPr="00EC51B4" w:rsidRDefault="00504FF2" w:rsidP="00504FF2">
      <w:r w:rsidRPr="00EC51B4">
        <w:t>An evaluation as such is not necessary, but comments on the evaluation performed by the evaluating member state should be provided in a commenting table.</w:t>
      </w:r>
    </w:p>
    <w:p w14:paraId="2EA4100D" w14:textId="77777777" w:rsidR="00504FF2" w:rsidRPr="00EC51B4" w:rsidRDefault="00504FF2" w:rsidP="00504FF2"/>
    <w:p w14:paraId="670889AD" w14:textId="77777777" w:rsidR="00504FF2" w:rsidRPr="00EC51B4" w:rsidRDefault="00504FF2" w:rsidP="00504FF2">
      <w:r w:rsidRPr="00EC51B4">
        <w:lastRenderedPageBreak/>
        <w:t>As a part of the delivery, the supplier should be prepared to answer follow up questions from DEPA regarding elaboration or documentation of the basis of the assessment. If the basis for the assessment changes, eg. upon submission of new documentation from the applicant, this will be considered as a request for a new assessment, unless otherwise agreed.</w:t>
      </w:r>
    </w:p>
    <w:p w14:paraId="4D96B293" w14:textId="77777777" w:rsidR="00504FF2" w:rsidRPr="00EC51B4" w:rsidRDefault="00504FF2" w:rsidP="00504FF2"/>
    <w:p w14:paraId="294D8D7E" w14:textId="77777777" w:rsidR="00504FF2" w:rsidRPr="00EC51B4" w:rsidRDefault="00504FF2" w:rsidP="00504FF2">
      <w:r w:rsidRPr="00EC51B4">
        <w:t>The supplier must ensure the quality of the project's deliveries. Quality assurance must be in accordance with industry standard standards for quality assurance. The supplier must ensure that employees who perform assessments for the contracting authority have not been involved in the work on the efficiency studies to be assessed.</w:t>
      </w:r>
    </w:p>
    <w:p w14:paraId="1F39D751" w14:textId="77777777" w:rsidR="00504FF2" w:rsidRPr="00EC51B4" w:rsidRDefault="00504FF2" w:rsidP="00504FF2"/>
    <w:p w14:paraId="09060F47" w14:textId="2A9DAF9E" w:rsidR="00504FF2" w:rsidRPr="00EC51B4" w:rsidRDefault="00504FF2" w:rsidP="00504FF2">
      <w:r w:rsidRPr="00EC51B4">
        <w:t>The contracting authority makes quality assurance within two weeks after the assessment</w:t>
      </w:r>
      <w:r w:rsidR="00945B8A">
        <w:t>s or comments</w:t>
      </w:r>
      <w:r w:rsidRPr="00EC51B4">
        <w:t xml:space="preserve"> has been received. As a response to any comments in the quality assurance, the supplier will have one week to make necessary changes or elaborations in the assessment.</w:t>
      </w:r>
      <w:r w:rsidR="00945B8A">
        <w:t xml:space="preserve"> In some cases a shorter commenting and revision periods is needed in order to comply with the biocidal product regulation, the contracting authority will specify this in the communication with the supplier.</w:t>
      </w:r>
    </w:p>
    <w:p w14:paraId="4884C9E5" w14:textId="77777777" w:rsidR="00504FF2" w:rsidRPr="00EC51B4" w:rsidRDefault="00504FF2" w:rsidP="00504FF2"/>
    <w:p w14:paraId="29422B63" w14:textId="77777777" w:rsidR="00504FF2" w:rsidRPr="00EC51B4" w:rsidRDefault="00504FF2" w:rsidP="00504FF2">
      <w:r w:rsidRPr="00EC51B4">
        <w:t>In the eventuality where another member state disagrees with the efficacy assessment made by DEPA, the supplier will be expected to support the DEPA with written arguments in bilateral and EU-level discussions. This will also be the case when the supplier disagrees with the assessment made by another member state.</w:t>
      </w:r>
    </w:p>
    <w:p w14:paraId="6A873C98" w14:textId="77777777" w:rsidR="00504FF2" w:rsidRPr="00EC51B4" w:rsidRDefault="00504FF2" w:rsidP="00504FF2"/>
    <w:p w14:paraId="612C85EF" w14:textId="77777777" w:rsidR="00504FF2" w:rsidRPr="00EC51B4" w:rsidRDefault="00504FF2" w:rsidP="00504FF2">
      <w:r w:rsidRPr="00EC51B4">
        <w:t>The contract also includes options on consultations regarding the development of guidance regarding product type 8, as well as written discussions in the technical working groups on principal issues regarding efficacy in wood protection products.</w:t>
      </w:r>
    </w:p>
    <w:p w14:paraId="041AFF30" w14:textId="659AE334" w:rsidR="00504FF2" w:rsidRPr="00EC51B4" w:rsidRDefault="00504FF2" w:rsidP="00504FF2">
      <w:pPr>
        <w:pStyle w:val="Overskrift1"/>
      </w:pPr>
      <w:r w:rsidRPr="00EC51B4">
        <w:t>Price</w:t>
      </w:r>
      <w:r w:rsidR="00DE19B0" w:rsidRPr="00EC51B4">
        <w:t xml:space="preserve"> and budget </w:t>
      </w:r>
    </w:p>
    <w:p w14:paraId="1ABC945B" w14:textId="3F32803A" w:rsidR="00504FF2" w:rsidRPr="00EC51B4" w:rsidRDefault="00504FF2" w:rsidP="00504FF2">
      <w:pPr>
        <w:ind w:right="-1"/>
      </w:pPr>
      <w:r w:rsidRPr="00EC51B4">
        <w:t>The contract is a framework agreement where all services under the agreement can be considered as options.</w:t>
      </w:r>
      <w:r w:rsidR="00DE19B0" w:rsidRPr="00EC51B4">
        <w:t xml:space="preserve"> The tender price </w:t>
      </w:r>
      <w:r w:rsidR="002524DB" w:rsidRPr="00EC51B4">
        <w:t>shall be given as</w:t>
      </w:r>
      <w:r w:rsidR="00DE19B0" w:rsidRPr="00EC51B4">
        <w:t xml:space="preserve"> a binding average hourly rate of the included employees</w:t>
      </w:r>
      <w:r w:rsidR="002524DB" w:rsidRPr="00EC51B4">
        <w:t xml:space="preserve"> . The tender shall only state the calculated average hourly rate</w:t>
      </w:r>
      <w:r w:rsidRPr="00EC51B4">
        <w:t xml:space="preserve">. </w:t>
      </w:r>
    </w:p>
    <w:p w14:paraId="4F941836" w14:textId="61D05CC3" w:rsidR="00504FF2" w:rsidRPr="00EC51B4" w:rsidRDefault="00504FF2" w:rsidP="00504FF2">
      <w:pPr>
        <w:ind w:right="-1"/>
      </w:pPr>
    </w:p>
    <w:p w14:paraId="4A25DC84" w14:textId="129AD62F" w:rsidR="00F3052B" w:rsidRPr="00EC51B4" w:rsidRDefault="00DE19B0" w:rsidP="002524DB">
      <w:pPr>
        <w:spacing w:after="200" w:line="276" w:lineRule="auto"/>
        <w:rPr>
          <w:rFonts w:asciiTheme="minorHAnsi" w:hAnsiTheme="minorHAnsi"/>
        </w:rPr>
      </w:pPr>
      <w:r w:rsidRPr="00EC51B4">
        <w:rPr>
          <w:rFonts w:asciiTheme="minorHAnsi" w:hAnsiTheme="minorHAnsi"/>
        </w:rPr>
        <w:t xml:space="preserve">The </w:t>
      </w:r>
      <w:r w:rsidR="002524DB" w:rsidRPr="00EC51B4">
        <w:rPr>
          <w:rFonts w:asciiTheme="minorHAnsi" w:hAnsiTheme="minorHAnsi"/>
        </w:rPr>
        <w:t xml:space="preserve">framework agreement </w:t>
      </w:r>
      <w:r w:rsidRPr="00EC51B4">
        <w:rPr>
          <w:rFonts w:asciiTheme="minorHAnsi" w:hAnsiTheme="minorHAnsi"/>
        </w:rPr>
        <w:t xml:space="preserve">as a </w:t>
      </w:r>
      <w:r w:rsidR="002524DB" w:rsidRPr="00EC51B4">
        <w:rPr>
          <w:rFonts w:asciiTheme="minorHAnsi" w:hAnsiTheme="minorHAnsi"/>
        </w:rPr>
        <w:t xml:space="preserve">total </w:t>
      </w:r>
      <w:r w:rsidRPr="00EC51B4">
        <w:rPr>
          <w:rFonts w:asciiTheme="minorHAnsi" w:hAnsiTheme="minorHAnsi"/>
        </w:rPr>
        <w:t xml:space="preserve">maximum </w:t>
      </w:r>
      <w:r w:rsidR="00F3052B" w:rsidRPr="00EC51B4">
        <w:rPr>
          <w:rFonts w:asciiTheme="minorHAnsi" w:hAnsiTheme="minorHAnsi"/>
        </w:rPr>
        <w:t>budget o</w:t>
      </w:r>
      <w:r w:rsidRPr="00EC51B4">
        <w:rPr>
          <w:rFonts w:asciiTheme="minorHAnsi" w:hAnsiTheme="minorHAnsi"/>
        </w:rPr>
        <w:t>f DKK 200,000 exclusive of VAT</w:t>
      </w:r>
      <w:r w:rsidR="002524DB" w:rsidRPr="00EC51B4">
        <w:rPr>
          <w:rFonts w:asciiTheme="minorHAnsi" w:hAnsiTheme="minorHAnsi"/>
        </w:rPr>
        <w:t xml:space="preserve">. </w:t>
      </w:r>
    </w:p>
    <w:p w14:paraId="11839B9B" w14:textId="77777777" w:rsidR="00DE19B0" w:rsidRPr="00EC51B4" w:rsidRDefault="00DE19B0" w:rsidP="00504FF2">
      <w:pPr>
        <w:ind w:right="-1"/>
      </w:pPr>
    </w:p>
    <w:p w14:paraId="7F71AF72" w14:textId="77777777" w:rsidR="00504FF2" w:rsidRPr="00EC51B4" w:rsidRDefault="00504FF2" w:rsidP="00504FF2">
      <w:pPr>
        <w:ind w:right="-1"/>
        <w:rPr>
          <w:b/>
          <w:sz w:val="22"/>
          <w:szCs w:val="22"/>
        </w:rPr>
      </w:pPr>
      <w:r w:rsidRPr="00EC51B4">
        <w:rPr>
          <w:b/>
          <w:sz w:val="22"/>
          <w:szCs w:val="22"/>
        </w:rPr>
        <w:t>Payment Terms</w:t>
      </w:r>
    </w:p>
    <w:p w14:paraId="4764B4D4" w14:textId="77777777" w:rsidR="00504FF2" w:rsidRPr="00EC51B4" w:rsidRDefault="00504FF2" w:rsidP="00504FF2">
      <w:pPr>
        <w:ind w:right="-1"/>
      </w:pPr>
      <w:r w:rsidRPr="00EC51B4">
        <w:t>Payment is made by invoice from the supplier with specification of assessed evaluations and hours taken if relevant, after the assessment is finished and not more often than quarterly. The invoice must also state item number as agreed.</w:t>
      </w:r>
    </w:p>
    <w:p w14:paraId="7D7A1223" w14:textId="77777777" w:rsidR="00504FF2" w:rsidRPr="00EC51B4" w:rsidRDefault="00504FF2" w:rsidP="00504FF2"/>
    <w:p w14:paraId="4F16C2D9" w14:textId="3F38F0C7" w:rsidR="00504FF2" w:rsidRPr="00EC51B4" w:rsidRDefault="00504FF2">
      <w:r w:rsidRPr="00EC51B4">
        <w:br w:type="page"/>
      </w:r>
    </w:p>
    <w:p w14:paraId="0679DADD" w14:textId="77777777" w:rsidR="00504FF2" w:rsidRPr="00EC51B4" w:rsidRDefault="00504FF2" w:rsidP="00504FF2"/>
    <w:p w14:paraId="373DDBAB" w14:textId="4DB40E97" w:rsidR="00504FF2" w:rsidRPr="00EC51B4" w:rsidRDefault="00504FF2" w:rsidP="00504FF2">
      <w:r w:rsidRPr="00EC51B4">
        <w:t xml:space="preserve">Annex </w:t>
      </w:r>
      <w:r w:rsidR="004843A0" w:rsidRPr="00EC51B4">
        <w:t>I</w:t>
      </w:r>
      <w:r w:rsidRPr="00EC51B4">
        <w:t>A Example of template for assessment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385"/>
        <w:gridCol w:w="2555"/>
        <w:gridCol w:w="2383"/>
      </w:tblGrid>
      <w:tr w:rsidR="00504FF2" w:rsidRPr="00EC51B4" w14:paraId="2D9E5080" w14:textId="77777777" w:rsidTr="00200840">
        <w:trPr>
          <w:trHeight w:val="205"/>
        </w:trPr>
        <w:tc>
          <w:tcPr>
            <w:tcW w:w="2172" w:type="dxa"/>
          </w:tcPr>
          <w:p w14:paraId="5B210AFB" w14:textId="77777777" w:rsidR="00504FF2" w:rsidRPr="00EC51B4" w:rsidRDefault="00504FF2" w:rsidP="00200840">
            <w:pPr>
              <w:rPr>
                <w:b/>
              </w:rPr>
            </w:pPr>
            <w:r w:rsidRPr="00EC51B4">
              <w:rPr>
                <w:b/>
              </w:rPr>
              <w:t>Company, MST ref. no., product</w:t>
            </w:r>
          </w:p>
        </w:tc>
        <w:tc>
          <w:tcPr>
            <w:tcW w:w="2385" w:type="dxa"/>
          </w:tcPr>
          <w:p w14:paraId="1DAF338D" w14:textId="77777777" w:rsidR="00504FF2" w:rsidRPr="00EC51B4" w:rsidRDefault="00504FF2" w:rsidP="00200840">
            <w:pPr>
              <w:rPr>
                <w:b/>
              </w:rPr>
            </w:pPr>
          </w:p>
        </w:tc>
        <w:tc>
          <w:tcPr>
            <w:tcW w:w="2555" w:type="dxa"/>
          </w:tcPr>
          <w:p w14:paraId="65595F11" w14:textId="77777777" w:rsidR="00504FF2" w:rsidRPr="00EC51B4" w:rsidRDefault="00504FF2" w:rsidP="00200840">
            <w:pPr>
              <w:rPr>
                <w:b/>
              </w:rPr>
            </w:pPr>
            <w:r w:rsidRPr="00EC51B4">
              <w:rPr>
                <w:b/>
              </w:rPr>
              <w:t>Label claim from company</w:t>
            </w:r>
          </w:p>
        </w:tc>
        <w:tc>
          <w:tcPr>
            <w:tcW w:w="2383" w:type="dxa"/>
          </w:tcPr>
          <w:p w14:paraId="30A10DE1" w14:textId="77777777" w:rsidR="00504FF2" w:rsidRPr="00EC51B4" w:rsidRDefault="00504FF2" w:rsidP="00200840">
            <w:pPr>
              <w:pStyle w:val="Default"/>
              <w:rPr>
                <w:b/>
                <w:lang w:val="en-GB"/>
              </w:rPr>
            </w:pPr>
            <w:r w:rsidRPr="00EC51B4">
              <w:rPr>
                <w:b/>
                <w:lang w:val="en-GB"/>
              </w:rPr>
              <w:t>Assessment</w:t>
            </w:r>
          </w:p>
        </w:tc>
      </w:tr>
      <w:tr w:rsidR="00504FF2" w:rsidRPr="00EC51B4" w14:paraId="73D255A0" w14:textId="77777777" w:rsidTr="00200840">
        <w:trPr>
          <w:trHeight w:val="205"/>
        </w:trPr>
        <w:tc>
          <w:tcPr>
            <w:tcW w:w="2172" w:type="dxa"/>
          </w:tcPr>
          <w:p w14:paraId="2D82F739" w14:textId="77777777" w:rsidR="00504FF2" w:rsidRPr="00EC51B4" w:rsidRDefault="00504FF2" w:rsidP="00200840">
            <w:pPr>
              <w:pStyle w:val="Default"/>
              <w:rPr>
                <w:lang w:val="en-GB"/>
              </w:rPr>
            </w:pPr>
          </w:p>
        </w:tc>
        <w:tc>
          <w:tcPr>
            <w:tcW w:w="2385" w:type="dxa"/>
          </w:tcPr>
          <w:p w14:paraId="14530C71" w14:textId="77777777" w:rsidR="00504FF2" w:rsidRPr="00EC51B4" w:rsidRDefault="00504FF2" w:rsidP="00200840">
            <w:r w:rsidRPr="00EC51B4">
              <w:t xml:space="preserve">Active substance(s) </w:t>
            </w:r>
          </w:p>
        </w:tc>
        <w:tc>
          <w:tcPr>
            <w:tcW w:w="2555" w:type="dxa"/>
          </w:tcPr>
          <w:p w14:paraId="51111082" w14:textId="77777777" w:rsidR="00504FF2" w:rsidRPr="00EC51B4" w:rsidRDefault="00504FF2" w:rsidP="00200840"/>
        </w:tc>
        <w:tc>
          <w:tcPr>
            <w:tcW w:w="2383" w:type="dxa"/>
          </w:tcPr>
          <w:p w14:paraId="16B333AE" w14:textId="77777777" w:rsidR="00504FF2" w:rsidRPr="00EC51B4" w:rsidRDefault="00504FF2" w:rsidP="00200840"/>
        </w:tc>
      </w:tr>
      <w:tr w:rsidR="00504FF2" w:rsidRPr="00EC51B4" w14:paraId="0012D507" w14:textId="77777777" w:rsidTr="00200840">
        <w:trPr>
          <w:trHeight w:val="204"/>
        </w:trPr>
        <w:tc>
          <w:tcPr>
            <w:tcW w:w="2172" w:type="dxa"/>
          </w:tcPr>
          <w:p w14:paraId="672BDCE6" w14:textId="77777777" w:rsidR="00504FF2" w:rsidRPr="00EC51B4" w:rsidRDefault="00504FF2" w:rsidP="00200840">
            <w:pPr>
              <w:pStyle w:val="Default"/>
              <w:rPr>
                <w:sz w:val="20"/>
                <w:szCs w:val="20"/>
                <w:lang w:val="en-GB"/>
              </w:rPr>
            </w:pPr>
          </w:p>
        </w:tc>
        <w:tc>
          <w:tcPr>
            <w:tcW w:w="2385" w:type="dxa"/>
          </w:tcPr>
          <w:p w14:paraId="18C65479" w14:textId="77777777" w:rsidR="00504FF2" w:rsidRPr="00EC51B4" w:rsidRDefault="00504FF2" w:rsidP="00200840">
            <w:r w:rsidRPr="00EC51B4">
              <w:t xml:space="preserve">Formulation type </w:t>
            </w:r>
          </w:p>
        </w:tc>
        <w:tc>
          <w:tcPr>
            <w:tcW w:w="2555" w:type="dxa"/>
          </w:tcPr>
          <w:p w14:paraId="0BA37589" w14:textId="77777777" w:rsidR="00504FF2" w:rsidRPr="00EC51B4" w:rsidRDefault="00504FF2" w:rsidP="00200840"/>
        </w:tc>
        <w:tc>
          <w:tcPr>
            <w:tcW w:w="2383" w:type="dxa"/>
          </w:tcPr>
          <w:p w14:paraId="18E0B880" w14:textId="77777777" w:rsidR="00504FF2" w:rsidRPr="00EC51B4" w:rsidRDefault="00504FF2" w:rsidP="00200840"/>
        </w:tc>
      </w:tr>
      <w:tr w:rsidR="00504FF2" w:rsidRPr="00EC51B4" w14:paraId="6C022E8E" w14:textId="77777777" w:rsidTr="00200840">
        <w:trPr>
          <w:trHeight w:val="666"/>
        </w:trPr>
        <w:tc>
          <w:tcPr>
            <w:tcW w:w="2172" w:type="dxa"/>
          </w:tcPr>
          <w:p w14:paraId="6D832ECE" w14:textId="77777777" w:rsidR="00504FF2" w:rsidRPr="00EC51B4" w:rsidRDefault="00504FF2" w:rsidP="00200840">
            <w:pPr>
              <w:pStyle w:val="Default"/>
              <w:rPr>
                <w:sz w:val="20"/>
                <w:szCs w:val="20"/>
                <w:lang w:val="en-GB"/>
              </w:rPr>
            </w:pPr>
          </w:p>
        </w:tc>
        <w:tc>
          <w:tcPr>
            <w:tcW w:w="2385" w:type="dxa"/>
          </w:tcPr>
          <w:p w14:paraId="5CA776B1" w14:textId="77777777" w:rsidR="00504FF2" w:rsidRPr="00EC51B4" w:rsidRDefault="00504FF2" w:rsidP="00200840">
            <w:r w:rsidRPr="00EC51B4">
              <w:t>User category (Industrial, professional, private)</w:t>
            </w:r>
          </w:p>
        </w:tc>
        <w:tc>
          <w:tcPr>
            <w:tcW w:w="2555" w:type="dxa"/>
          </w:tcPr>
          <w:p w14:paraId="1F815479" w14:textId="77777777" w:rsidR="00504FF2" w:rsidRPr="00EC51B4" w:rsidRDefault="00504FF2" w:rsidP="00200840"/>
        </w:tc>
        <w:tc>
          <w:tcPr>
            <w:tcW w:w="2383" w:type="dxa"/>
          </w:tcPr>
          <w:p w14:paraId="3F925636" w14:textId="77777777" w:rsidR="00504FF2" w:rsidRPr="00EC51B4" w:rsidRDefault="00504FF2" w:rsidP="00200840"/>
        </w:tc>
      </w:tr>
      <w:tr w:rsidR="00504FF2" w:rsidRPr="00EC51B4" w14:paraId="0E8F4DDA" w14:textId="77777777" w:rsidTr="00200840">
        <w:trPr>
          <w:trHeight w:val="666"/>
        </w:trPr>
        <w:tc>
          <w:tcPr>
            <w:tcW w:w="2172" w:type="dxa"/>
          </w:tcPr>
          <w:p w14:paraId="2AC0EEBB" w14:textId="77777777" w:rsidR="00504FF2" w:rsidRPr="00EC51B4" w:rsidRDefault="00504FF2" w:rsidP="00200840">
            <w:pPr>
              <w:pStyle w:val="Default"/>
              <w:rPr>
                <w:sz w:val="20"/>
                <w:szCs w:val="20"/>
                <w:lang w:val="en-GB"/>
              </w:rPr>
            </w:pPr>
          </w:p>
        </w:tc>
        <w:tc>
          <w:tcPr>
            <w:tcW w:w="2385" w:type="dxa"/>
          </w:tcPr>
          <w:p w14:paraId="46933A33" w14:textId="77777777" w:rsidR="00504FF2" w:rsidRPr="00EC51B4" w:rsidRDefault="00504FF2" w:rsidP="00200840">
            <w:r w:rsidRPr="00EC51B4">
              <w:t>Wood category (Softwood/hardwood) or masonry</w:t>
            </w:r>
          </w:p>
        </w:tc>
        <w:tc>
          <w:tcPr>
            <w:tcW w:w="2555" w:type="dxa"/>
          </w:tcPr>
          <w:p w14:paraId="192C8E32" w14:textId="77777777" w:rsidR="00504FF2" w:rsidRPr="00EC51B4" w:rsidRDefault="00504FF2" w:rsidP="00200840"/>
        </w:tc>
        <w:tc>
          <w:tcPr>
            <w:tcW w:w="2383" w:type="dxa"/>
          </w:tcPr>
          <w:p w14:paraId="5D57DB92" w14:textId="77777777" w:rsidR="00504FF2" w:rsidRPr="00EC51B4" w:rsidRDefault="00504FF2" w:rsidP="00200840"/>
        </w:tc>
      </w:tr>
      <w:tr w:rsidR="00504FF2" w:rsidRPr="00EC51B4" w14:paraId="675E7058" w14:textId="77777777" w:rsidTr="00200840">
        <w:trPr>
          <w:trHeight w:val="666"/>
        </w:trPr>
        <w:tc>
          <w:tcPr>
            <w:tcW w:w="2172" w:type="dxa"/>
          </w:tcPr>
          <w:p w14:paraId="2AAA678F" w14:textId="77777777" w:rsidR="00504FF2" w:rsidRPr="00EC51B4" w:rsidRDefault="00504FF2" w:rsidP="00200840">
            <w:pPr>
              <w:pStyle w:val="Default"/>
              <w:rPr>
                <w:sz w:val="20"/>
                <w:szCs w:val="20"/>
                <w:lang w:val="en-GB"/>
              </w:rPr>
            </w:pPr>
          </w:p>
        </w:tc>
        <w:tc>
          <w:tcPr>
            <w:tcW w:w="2385" w:type="dxa"/>
          </w:tcPr>
          <w:p w14:paraId="665397BD" w14:textId="77777777" w:rsidR="00504FF2" w:rsidRPr="00EC51B4" w:rsidRDefault="00504FF2" w:rsidP="00200840">
            <w:r w:rsidRPr="00EC51B4">
              <w:t>Application aim and use classes (preventive/curative and UC1-5</w:t>
            </w:r>
          </w:p>
        </w:tc>
        <w:tc>
          <w:tcPr>
            <w:tcW w:w="2555" w:type="dxa"/>
          </w:tcPr>
          <w:p w14:paraId="2FF10FBE" w14:textId="77777777" w:rsidR="00504FF2" w:rsidRPr="00EC51B4" w:rsidRDefault="00504FF2" w:rsidP="00200840"/>
        </w:tc>
        <w:tc>
          <w:tcPr>
            <w:tcW w:w="2383" w:type="dxa"/>
          </w:tcPr>
          <w:p w14:paraId="4DF5BCF2" w14:textId="77777777" w:rsidR="00504FF2" w:rsidRPr="00EC51B4" w:rsidRDefault="00504FF2" w:rsidP="00200840"/>
        </w:tc>
      </w:tr>
      <w:tr w:rsidR="00504FF2" w:rsidRPr="00EC51B4" w14:paraId="2AC29886" w14:textId="77777777" w:rsidTr="00200840">
        <w:trPr>
          <w:trHeight w:val="666"/>
        </w:trPr>
        <w:tc>
          <w:tcPr>
            <w:tcW w:w="2172" w:type="dxa"/>
          </w:tcPr>
          <w:p w14:paraId="2D08D768" w14:textId="77777777" w:rsidR="00504FF2" w:rsidRPr="00EC51B4" w:rsidRDefault="00504FF2" w:rsidP="00200840">
            <w:pPr>
              <w:pStyle w:val="Default"/>
              <w:rPr>
                <w:sz w:val="20"/>
                <w:szCs w:val="20"/>
                <w:lang w:val="en-GB"/>
              </w:rPr>
            </w:pPr>
          </w:p>
        </w:tc>
        <w:tc>
          <w:tcPr>
            <w:tcW w:w="2385" w:type="dxa"/>
          </w:tcPr>
          <w:p w14:paraId="473C78CA" w14:textId="77777777" w:rsidR="00504FF2" w:rsidRPr="00EC51B4" w:rsidRDefault="00504FF2" w:rsidP="00200840">
            <w:r w:rsidRPr="00EC51B4">
              <w:t>Method of application and application rate</w:t>
            </w:r>
          </w:p>
        </w:tc>
        <w:tc>
          <w:tcPr>
            <w:tcW w:w="2555" w:type="dxa"/>
          </w:tcPr>
          <w:p w14:paraId="75F2A636" w14:textId="77777777" w:rsidR="00504FF2" w:rsidRPr="00EC51B4" w:rsidRDefault="00504FF2" w:rsidP="00200840"/>
        </w:tc>
        <w:tc>
          <w:tcPr>
            <w:tcW w:w="2383" w:type="dxa"/>
          </w:tcPr>
          <w:p w14:paraId="78DF54BC" w14:textId="77777777" w:rsidR="00504FF2" w:rsidRPr="00EC51B4" w:rsidRDefault="00504FF2" w:rsidP="00200840"/>
        </w:tc>
      </w:tr>
      <w:tr w:rsidR="00504FF2" w:rsidRPr="00EC51B4" w14:paraId="6B0770AE" w14:textId="77777777" w:rsidTr="00200840">
        <w:trPr>
          <w:trHeight w:val="297"/>
        </w:trPr>
        <w:tc>
          <w:tcPr>
            <w:tcW w:w="2172" w:type="dxa"/>
          </w:tcPr>
          <w:p w14:paraId="066219A3" w14:textId="77777777" w:rsidR="00504FF2" w:rsidRPr="00EC51B4" w:rsidRDefault="00504FF2" w:rsidP="00200840">
            <w:pPr>
              <w:pStyle w:val="Default"/>
              <w:rPr>
                <w:sz w:val="20"/>
                <w:szCs w:val="20"/>
                <w:lang w:val="en-GB"/>
              </w:rPr>
            </w:pPr>
          </w:p>
        </w:tc>
        <w:tc>
          <w:tcPr>
            <w:tcW w:w="2385" w:type="dxa"/>
          </w:tcPr>
          <w:p w14:paraId="7C7E243B" w14:textId="77777777" w:rsidR="00504FF2" w:rsidRPr="00EC51B4" w:rsidRDefault="00504FF2" w:rsidP="00200840">
            <w:r w:rsidRPr="00EC51B4">
              <w:t>Target organisms</w:t>
            </w:r>
          </w:p>
        </w:tc>
        <w:tc>
          <w:tcPr>
            <w:tcW w:w="2555" w:type="dxa"/>
          </w:tcPr>
          <w:p w14:paraId="0E40D71C" w14:textId="77777777" w:rsidR="00504FF2" w:rsidRPr="00EC51B4" w:rsidRDefault="00504FF2" w:rsidP="00200840"/>
        </w:tc>
        <w:tc>
          <w:tcPr>
            <w:tcW w:w="2383" w:type="dxa"/>
          </w:tcPr>
          <w:p w14:paraId="68890165" w14:textId="77777777" w:rsidR="00504FF2" w:rsidRPr="00EC51B4" w:rsidRDefault="00504FF2" w:rsidP="00200840"/>
        </w:tc>
      </w:tr>
      <w:tr w:rsidR="00504FF2" w:rsidRPr="00EC51B4" w14:paraId="2214CA35" w14:textId="77777777" w:rsidTr="00200840">
        <w:trPr>
          <w:trHeight w:val="226"/>
        </w:trPr>
        <w:tc>
          <w:tcPr>
            <w:tcW w:w="2172" w:type="dxa"/>
          </w:tcPr>
          <w:p w14:paraId="177AC01F" w14:textId="77777777" w:rsidR="00504FF2" w:rsidRPr="00EC51B4" w:rsidRDefault="00504FF2" w:rsidP="00200840">
            <w:pPr>
              <w:pStyle w:val="Default"/>
              <w:rPr>
                <w:sz w:val="20"/>
                <w:szCs w:val="20"/>
                <w:lang w:val="en-GB"/>
              </w:rPr>
            </w:pPr>
          </w:p>
        </w:tc>
        <w:tc>
          <w:tcPr>
            <w:tcW w:w="2385" w:type="dxa"/>
          </w:tcPr>
          <w:p w14:paraId="5B2910F2" w14:textId="77777777" w:rsidR="00504FF2" w:rsidRPr="00EC51B4" w:rsidRDefault="00504FF2" w:rsidP="00200840">
            <w:r w:rsidRPr="00EC51B4">
              <w:t>Code for product (A.xx, B.xx, C.xx, D.xx, E.xx, F.xx and G.xx)</w:t>
            </w:r>
          </w:p>
        </w:tc>
        <w:tc>
          <w:tcPr>
            <w:tcW w:w="2555" w:type="dxa"/>
          </w:tcPr>
          <w:p w14:paraId="517BE9C8" w14:textId="77777777" w:rsidR="00504FF2" w:rsidRPr="00EC51B4" w:rsidRDefault="00504FF2" w:rsidP="00200840"/>
        </w:tc>
        <w:tc>
          <w:tcPr>
            <w:tcW w:w="2383" w:type="dxa"/>
          </w:tcPr>
          <w:p w14:paraId="19C47DA4" w14:textId="77777777" w:rsidR="00504FF2" w:rsidRPr="00EC51B4" w:rsidRDefault="00504FF2" w:rsidP="00200840"/>
        </w:tc>
      </w:tr>
      <w:tr w:rsidR="00504FF2" w:rsidRPr="00EC51B4" w14:paraId="06BA7051" w14:textId="77777777" w:rsidTr="00200840">
        <w:trPr>
          <w:trHeight w:val="320"/>
        </w:trPr>
        <w:tc>
          <w:tcPr>
            <w:tcW w:w="2172" w:type="dxa"/>
          </w:tcPr>
          <w:p w14:paraId="129E0DA0" w14:textId="77777777" w:rsidR="00504FF2" w:rsidRPr="00EC51B4" w:rsidRDefault="00504FF2" w:rsidP="00200840">
            <w:pPr>
              <w:pStyle w:val="Default"/>
              <w:rPr>
                <w:sz w:val="20"/>
                <w:szCs w:val="20"/>
                <w:lang w:val="en-GB"/>
              </w:rPr>
            </w:pPr>
          </w:p>
        </w:tc>
        <w:tc>
          <w:tcPr>
            <w:tcW w:w="2385" w:type="dxa"/>
          </w:tcPr>
          <w:p w14:paraId="547D79B5" w14:textId="77777777" w:rsidR="00504FF2" w:rsidRPr="00EC51B4" w:rsidRDefault="00504FF2" w:rsidP="00200840">
            <w:r w:rsidRPr="00EC51B4">
              <w:t xml:space="preserve">Use of topcoat </w:t>
            </w:r>
          </w:p>
        </w:tc>
        <w:tc>
          <w:tcPr>
            <w:tcW w:w="2555" w:type="dxa"/>
          </w:tcPr>
          <w:p w14:paraId="6CB2F2A3" w14:textId="77777777" w:rsidR="00504FF2" w:rsidRPr="00EC51B4" w:rsidRDefault="00504FF2" w:rsidP="00200840"/>
        </w:tc>
        <w:tc>
          <w:tcPr>
            <w:tcW w:w="2383" w:type="dxa"/>
          </w:tcPr>
          <w:p w14:paraId="281347E9" w14:textId="77777777" w:rsidR="00504FF2" w:rsidRPr="00EC51B4" w:rsidRDefault="00504FF2" w:rsidP="00200840"/>
        </w:tc>
      </w:tr>
      <w:tr w:rsidR="00504FF2" w:rsidRPr="00EC51B4" w14:paraId="758D21CB" w14:textId="77777777" w:rsidTr="00200840">
        <w:trPr>
          <w:trHeight w:val="204"/>
        </w:trPr>
        <w:tc>
          <w:tcPr>
            <w:tcW w:w="2172" w:type="dxa"/>
          </w:tcPr>
          <w:p w14:paraId="39738F85" w14:textId="77777777" w:rsidR="00504FF2" w:rsidRPr="00EC51B4" w:rsidRDefault="00504FF2" w:rsidP="00200840">
            <w:pPr>
              <w:pStyle w:val="Default"/>
              <w:rPr>
                <w:sz w:val="20"/>
                <w:szCs w:val="20"/>
                <w:lang w:val="en-GB"/>
              </w:rPr>
            </w:pPr>
          </w:p>
        </w:tc>
        <w:tc>
          <w:tcPr>
            <w:tcW w:w="2385" w:type="dxa"/>
          </w:tcPr>
          <w:p w14:paraId="2155AEB8" w14:textId="77777777" w:rsidR="00504FF2" w:rsidRPr="00EC51B4" w:rsidRDefault="00504FF2" w:rsidP="00200840">
            <w:r w:rsidRPr="00EC51B4">
              <w:t xml:space="preserve">Tests performed </w:t>
            </w:r>
          </w:p>
        </w:tc>
        <w:tc>
          <w:tcPr>
            <w:tcW w:w="2555" w:type="dxa"/>
          </w:tcPr>
          <w:p w14:paraId="6F1C94AB" w14:textId="77777777" w:rsidR="00504FF2" w:rsidRPr="00EC51B4" w:rsidRDefault="00504FF2" w:rsidP="00200840"/>
        </w:tc>
        <w:tc>
          <w:tcPr>
            <w:tcW w:w="2383" w:type="dxa"/>
          </w:tcPr>
          <w:p w14:paraId="36805D6E" w14:textId="77777777" w:rsidR="00504FF2" w:rsidRPr="00EC51B4" w:rsidRDefault="00504FF2" w:rsidP="00200840"/>
        </w:tc>
      </w:tr>
      <w:tr w:rsidR="00504FF2" w:rsidRPr="00EC51B4" w14:paraId="3A1296A8" w14:textId="77777777" w:rsidTr="00200840">
        <w:trPr>
          <w:trHeight w:val="204"/>
        </w:trPr>
        <w:tc>
          <w:tcPr>
            <w:tcW w:w="9495" w:type="dxa"/>
            <w:gridSpan w:val="4"/>
          </w:tcPr>
          <w:p w14:paraId="42566AF9" w14:textId="77777777" w:rsidR="00504FF2" w:rsidRPr="00EC51B4" w:rsidRDefault="00504FF2" w:rsidP="00200840">
            <w:pPr>
              <w:rPr>
                <w:b/>
                <w:szCs w:val="24"/>
              </w:rPr>
            </w:pPr>
          </w:p>
          <w:p w14:paraId="0852A09C" w14:textId="77777777" w:rsidR="00504FF2" w:rsidRPr="00EC51B4" w:rsidRDefault="00504FF2" w:rsidP="00200840">
            <w:pPr>
              <w:rPr>
                <w:b/>
                <w:szCs w:val="24"/>
              </w:rPr>
            </w:pPr>
            <w:r w:rsidRPr="00EC51B4">
              <w:rPr>
                <w:b/>
                <w:szCs w:val="24"/>
              </w:rPr>
              <w:t>Evaluation of the test reports provided to support applicants claim:</w:t>
            </w:r>
          </w:p>
          <w:p w14:paraId="64E84574" w14:textId="77777777" w:rsidR="00504FF2" w:rsidRPr="00EC51B4" w:rsidRDefault="00504FF2" w:rsidP="00200840">
            <w:pPr>
              <w:rPr>
                <w:color w:val="A6A6A6" w:themeColor="background1" w:themeShade="A6"/>
                <w:szCs w:val="24"/>
              </w:rPr>
            </w:pPr>
            <w:r w:rsidRPr="00EC51B4">
              <w:rPr>
                <w:color w:val="A6A6A6" w:themeColor="background1" w:themeShade="A6"/>
                <w:szCs w:val="24"/>
              </w:rPr>
              <w:t xml:space="preserve">Include evaluation for each claim/test </w:t>
            </w:r>
          </w:p>
          <w:p w14:paraId="3DBD699A" w14:textId="77777777" w:rsidR="00504FF2" w:rsidRPr="00EC51B4" w:rsidRDefault="00504FF2" w:rsidP="00200840">
            <w:pPr>
              <w:rPr>
                <w:szCs w:val="24"/>
              </w:rPr>
            </w:pPr>
          </w:p>
          <w:p w14:paraId="26891974" w14:textId="77777777" w:rsidR="00504FF2" w:rsidRPr="00EC51B4" w:rsidRDefault="00504FF2" w:rsidP="00200840">
            <w:pPr>
              <w:rPr>
                <w:szCs w:val="24"/>
              </w:rPr>
            </w:pPr>
          </w:p>
          <w:p w14:paraId="74A24F2E" w14:textId="77777777" w:rsidR="00504FF2" w:rsidRPr="00EC51B4" w:rsidRDefault="00504FF2" w:rsidP="00200840">
            <w:pPr>
              <w:rPr>
                <w:b/>
                <w:szCs w:val="24"/>
              </w:rPr>
            </w:pPr>
            <w:r w:rsidRPr="00EC51B4">
              <w:rPr>
                <w:b/>
                <w:szCs w:val="24"/>
              </w:rPr>
              <w:t>Conclusions and any additional requirements (to be copied into the product assessment report):</w:t>
            </w:r>
          </w:p>
          <w:p w14:paraId="11C481F6" w14:textId="77777777" w:rsidR="00504FF2" w:rsidRPr="00EC51B4" w:rsidRDefault="00504FF2" w:rsidP="00200840">
            <w:pPr>
              <w:rPr>
                <w:color w:val="A6A6A6" w:themeColor="background1" w:themeShade="A6"/>
                <w:szCs w:val="24"/>
              </w:rPr>
            </w:pPr>
            <w:r w:rsidRPr="00EC51B4">
              <w:rPr>
                <w:color w:val="A6A6A6" w:themeColor="background1" w:themeShade="A6"/>
                <w:szCs w:val="24"/>
              </w:rPr>
              <w:t>The provided test reports allow to support the following efficacy claim:</w:t>
            </w:r>
          </w:p>
          <w:p w14:paraId="3ABA83B9" w14:textId="77777777" w:rsidR="00504FF2" w:rsidRPr="00EC51B4" w:rsidRDefault="00504FF2" w:rsidP="00200840">
            <w:pPr>
              <w:rPr>
                <w:szCs w:val="24"/>
              </w:rPr>
            </w:pPr>
          </w:p>
          <w:p w14:paraId="205C2361" w14:textId="77777777" w:rsidR="00504FF2" w:rsidRPr="00EC51B4" w:rsidRDefault="00504FF2" w:rsidP="00200840">
            <w:pPr>
              <w:rPr>
                <w:szCs w:val="24"/>
              </w:rPr>
            </w:pPr>
          </w:p>
          <w:p w14:paraId="09C60B8B" w14:textId="77777777" w:rsidR="00504FF2" w:rsidRPr="00EC51B4" w:rsidRDefault="00504FF2" w:rsidP="00200840">
            <w:pPr>
              <w:rPr>
                <w:b/>
                <w:szCs w:val="24"/>
              </w:rPr>
            </w:pPr>
            <w:r w:rsidRPr="00EC51B4">
              <w:rPr>
                <w:b/>
                <w:szCs w:val="24"/>
              </w:rPr>
              <w:t>Notes:</w:t>
            </w:r>
          </w:p>
          <w:p w14:paraId="0DB59C08" w14:textId="77777777" w:rsidR="00504FF2" w:rsidRPr="00EC51B4" w:rsidRDefault="00504FF2" w:rsidP="00200840">
            <w:pPr>
              <w:rPr>
                <w:szCs w:val="24"/>
              </w:rPr>
            </w:pPr>
          </w:p>
          <w:p w14:paraId="0B2F8BCB" w14:textId="77777777" w:rsidR="00504FF2" w:rsidRPr="00EC51B4" w:rsidRDefault="00504FF2" w:rsidP="00200840">
            <w:pPr>
              <w:rPr>
                <w:b/>
                <w:szCs w:val="24"/>
              </w:rPr>
            </w:pPr>
          </w:p>
        </w:tc>
      </w:tr>
    </w:tbl>
    <w:p w14:paraId="762A6F70" w14:textId="77777777" w:rsidR="00504FF2" w:rsidRPr="00EC51B4" w:rsidRDefault="00504FF2" w:rsidP="00504FF2"/>
    <w:p w14:paraId="550215AB" w14:textId="77777777" w:rsidR="00504FF2" w:rsidRPr="00EC51B4" w:rsidRDefault="00504FF2" w:rsidP="00504FF2">
      <w:r w:rsidRPr="00EC51B4">
        <w:br w:type="page"/>
      </w:r>
    </w:p>
    <w:tbl>
      <w:tblPr>
        <w:tblpPr w:leftFromText="141" w:rightFromText="141" w:horzAnchor="margin" w:tblpXSpec="center" w:tblpY="705"/>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402"/>
        <w:gridCol w:w="1134"/>
      </w:tblGrid>
      <w:tr w:rsidR="00504FF2" w:rsidRPr="00EC51B4" w14:paraId="089FFC37" w14:textId="77777777" w:rsidTr="00200840">
        <w:trPr>
          <w:trHeight w:val="578"/>
        </w:trPr>
        <w:tc>
          <w:tcPr>
            <w:tcW w:w="3402" w:type="dxa"/>
            <w:shd w:val="clear" w:color="000000" w:fill="D9D9D9"/>
            <w:hideMark/>
          </w:tcPr>
          <w:p w14:paraId="4C06363C" w14:textId="77777777" w:rsidR="00504FF2" w:rsidRPr="00EC51B4" w:rsidRDefault="00504FF2" w:rsidP="00200840">
            <w:pPr>
              <w:rPr>
                <w:color w:val="000000"/>
                <w:sz w:val="16"/>
                <w:szCs w:val="16"/>
              </w:rPr>
            </w:pPr>
            <w:r w:rsidRPr="00EC51B4">
              <w:rPr>
                <w:color w:val="000000"/>
                <w:sz w:val="16"/>
                <w:szCs w:val="16"/>
              </w:rPr>
              <w:lastRenderedPageBreak/>
              <w:t>Application type</w:t>
            </w:r>
          </w:p>
        </w:tc>
        <w:tc>
          <w:tcPr>
            <w:tcW w:w="3402" w:type="dxa"/>
            <w:shd w:val="clear" w:color="000000" w:fill="D9D9D9"/>
            <w:hideMark/>
          </w:tcPr>
          <w:p w14:paraId="255B71F7" w14:textId="77777777" w:rsidR="00504FF2" w:rsidRPr="00EC51B4" w:rsidRDefault="00504FF2" w:rsidP="00200840">
            <w:pPr>
              <w:rPr>
                <w:color w:val="000000"/>
                <w:sz w:val="16"/>
                <w:szCs w:val="16"/>
              </w:rPr>
            </w:pPr>
            <w:r w:rsidRPr="00EC51B4">
              <w:rPr>
                <w:color w:val="000000"/>
                <w:sz w:val="16"/>
                <w:szCs w:val="16"/>
              </w:rPr>
              <w:t>Application type</w:t>
            </w:r>
          </w:p>
        </w:tc>
        <w:tc>
          <w:tcPr>
            <w:tcW w:w="1134" w:type="dxa"/>
            <w:shd w:val="clear" w:color="000000" w:fill="D9D9D9"/>
          </w:tcPr>
          <w:p w14:paraId="402FE639" w14:textId="62EE29C3" w:rsidR="00504FF2" w:rsidRPr="00EC51B4" w:rsidRDefault="0039787C" w:rsidP="0039787C">
            <w:pPr>
              <w:rPr>
                <w:color w:val="000000"/>
                <w:sz w:val="16"/>
                <w:szCs w:val="16"/>
              </w:rPr>
            </w:pPr>
            <w:r w:rsidRPr="00EC51B4">
              <w:rPr>
                <w:color w:val="000000"/>
                <w:sz w:val="16"/>
                <w:szCs w:val="16"/>
              </w:rPr>
              <w:t xml:space="preserve">Maximum hours spent </w:t>
            </w:r>
            <w:r w:rsidR="00504FF2" w:rsidRPr="00EC51B4">
              <w:rPr>
                <w:color w:val="000000"/>
                <w:sz w:val="16"/>
                <w:szCs w:val="16"/>
              </w:rPr>
              <w:t>(hours</w:t>
            </w:r>
            <w:r w:rsidR="00335AFB" w:rsidRPr="00EC51B4">
              <w:rPr>
                <w:color w:val="000000"/>
                <w:sz w:val="16"/>
                <w:szCs w:val="16"/>
              </w:rPr>
              <w:t>)</w:t>
            </w:r>
          </w:p>
        </w:tc>
      </w:tr>
      <w:tr w:rsidR="00504FF2" w:rsidRPr="00EC51B4" w14:paraId="0ECDBB33" w14:textId="77777777" w:rsidTr="00200840">
        <w:trPr>
          <w:trHeight w:val="284"/>
        </w:trPr>
        <w:tc>
          <w:tcPr>
            <w:tcW w:w="3402" w:type="dxa"/>
            <w:vMerge w:val="restart"/>
            <w:shd w:val="clear" w:color="000000" w:fill="FFFFFF"/>
            <w:hideMark/>
          </w:tcPr>
          <w:p w14:paraId="7C9B85D8" w14:textId="77777777" w:rsidR="00504FF2" w:rsidRPr="00EC51B4" w:rsidRDefault="00504FF2" w:rsidP="00200840">
            <w:pPr>
              <w:rPr>
                <w:color w:val="000000"/>
                <w:sz w:val="16"/>
                <w:szCs w:val="16"/>
              </w:rPr>
            </w:pPr>
            <w:r w:rsidRPr="00EC51B4">
              <w:rPr>
                <w:color w:val="000000"/>
                <w:sz w:val="16"/>
                <w:szCs w:val="16"/>
              </w:rPr>
              <w:t>Union authorisation</w:t>
            </w:r>
          </w:p>
          <w:p w14:paraId="756AB4B0" w14:textId="77777777" w:rsidR="00504FF2" w:rsidRPr="00EC51B4" w:rsidRDefault="00504FF2" w:rsidP="00200840">
            <w:pPr>
              <w:rPr>
                <w:color w:val="000000"/>
                <w:sz w:val="16"/>
                <w:szCs w:val="16"/>
              </w:rPr>
            </w:pPr>
            <w:r w:rsidRPr="00EC51B4">
              <w:rPr>
                <w:color w:val="000000"/>
                <w:sz w:val="16"/>
                <w:szCs w:val="16"/>
              </w:rPr>
              <w:t>(new or renewal)</w:t>
            </w:r>
          </w:p>
        </w:tc>
        <w:tc>
          <w:tcPr>
            <w:tcW w:w="3402" w:type="dxa"/>
            <w:shd w:val="clear" w:color="auto" w:fill="auto"/>
            <w:hideMark/>
          </w:tcPr>
          <w:p w14:paraId="19A2C2A5" w14:textId="77777777" w:rsidR="00504FF2" w:rsidRPr="00EC51B4" w:rsidRDefault="00504FF2" w:rsidP="00200840">
            <w:pPr>
              <w:rPr>
                <w:color w:val="000000"/>
                <w:sz w:val="16"/>
                <w:szCs w:val="16"/>
              </w:rPr>
            </w:pPr>
            <w:r w:rsidRPr="00EC51B4">
              <w:rPr>
                <w:color w:val="000000"/>
                <w:sz w:val="16"/>
                <w:szCs w:val="16"/>
              </w:rPr>
              <w:t>Product</w:t>
            </w:r>
          </w:p>
        </w:tc>
        <w:tc>
          <w:tcPr>
            <w:tcW w:w="1134" w:type="dxa"/>
          </w:tcPr>
          <w:p w14:paraId="1411ED6A" w14:textId="77777777" w:rsidR="00504FF2" w:rsidRPr="00EC51B4" w:rsidRDefault="00504FF2" w:rsidP="00200840">
            <w:pPr>
              <w:jc w:val="right"/>
              <w:rPr>
                <w:color w:val="000000"/>
                <w:sz w:val="16"/>
                <w:szCs w:val="16"/>
              </w:rPr>
            </w:pPr>
          </w:p>
        </w:tc>
      </w:tr>
      <w:tr w:rsidR="00504FF2" w:rsidRPr="00EC51B4" w14:paraId="2D90AF95" w14:textId="77777777" w:rsidTr="00200840">
        <w:trPr>
          <w:trHeight w:val="284"/>
        </w:trPr>
        <w:tc>
          <w:tcPr>
            <w:tcW w:w="3402" w:type="dxa"/>
            <w:vMerge/>
            <w:vAlign w:val="center"/>
            <w:hideMark/>
          </w:tcPr>
          <w:p w14:paraId="05935624" w14:textId="77777777" w:rsidR="00504FF2" w:rsidRPr="00EC51B4" w:rsidRDefault="00504FF2" w:rsidP="00200840">
            <w:pPr>
              <w:rPr>
                <w:color w:val="000000"/>
                <w:sz w:val="16"/>
                <w:szCs w:val="16"/>
              </w:rPr>
            </w:pPr>
          </w:p>
        </w:tc>
        <w:tc>
          <w:tcPr>
            <w:tcW w:w="3402" w:type="dxa"/>
            <w:shd w:val="clear" w:color="auto" w:fill="auto"/>
            <w:hideMark/>
          </w:tcPr>
          <w:p w14:paraId="005C68EA" w14:textId="77777777" w:rsidR="00504FF2" w:rsidRPr="00EC51B4" w:rsidRDefault="00504FF2" w:rsidP="00200840">
            <w:pPr>
              <w:rPr>
                <w:color w:val="000000"/>
                <w:sz w:val="16"/>
                <w:szCs w:val="16"/>
              </w:rPr>
            </w:pPr>
            <w:r w:rsidRPr="00EC51B4">
              <w:rPr>
                <w:color w:val="000000"/>
                <w:sz w:val="16"/>
                <w:szCs w:val="16"/>
              </w:rPr>
              <w:t>Product  family</w:t>
            </w:r>
          </w:p>
        </w:tc>
        <w:tc>
          <w:tcPr>
            <w:tcW w:w="1134" w:type="dxa"/>
          </w:tcPr>
          <w:p w14:paraId="74319792" w14:textId="77777777" w:rsidR="00504FF2" w:rsidRPr="00EC51B4" w:rsidRDefault="00504FF2" w:rsidP="00200840">
            <w:pPr>
              <w:jc w:val="right"/>
              <w:rPr>
                <w:color w:val="000000"/>
                <w:sz w:val="16"/>
                <w:szCs w:val="16"/>
              </w:rPr>
            </w:pPr>
          </w:p>
        </w:tc>
      </w:tr>
      <w:tr w:rsidR="00504FF2" w:rsidRPr="00EC51B4" w14:paraId="33DB1E10" w14:textId="77777777" w:rsidTr="00200840">
        <w:trPr>
          <w:trHeight w:val="284"/>
        </w:trPr>
        <w:tc>
          <w:tcPr>
            <w:tcW w:w="3402" w:type="dxa"/>
            <w:vMerge w:val="restart"/>
            <w:shd w:val="clear" w:color="auto" w:fill="auto"/>
            <w:hideMark/>
          </w:tcPr>
          <w:p w14:paraId="22ACAC71" w14:textId="77777777" w:rsidR="00504FF2" w:rsidRPr="00EC51B4" w:rsidRDefault="00504FF2" w:rsidP="00200840">
            <w:pPr>
              <w:rPr>
                <w:color w:val="000000"/>
                <w:sz w:val="16"/>
                <w:szCs w:val="16"/>
              </w:rPr>
            </w:pPr>
            <w:r w:rsidRPr="00EC51B4">
              <w:rPr>
                <w:color w:val="000000"/>
                <w:sz w:val="16"/>
                <w:szCs w:val="16"/>
              </w:rPr>
              <w:t>National application</w:t>
            </w:r>
          </w:p>
          <w:p w14:paraId="55601F33" w14:textId="77777777" w:rsidR="00504FF2" w:rsidRPr="00EC51B4" w:rsidRDefault="00504FF2" w:rsidP="00200840">
            <w:pPr>
              <w:rPr>
                <w:color w:val="000000"/>
                <w:sz w:val="16"/>
                <w:szCs w:val="16"/>
              </w:rPr>
            </w:pPr>
            <w:r w:rsidRPr="00EC51B4">
              <w:rPr>
                <w:color w:val="000000"/>
                <w:sz w:val="16"/>
                <w:szCs w:val="16"/>
              </w:rPr>
              <w:t>(new or renewal)</w:t>
            </w:r>
          </w:p>
        </w:tc>
        <w:tc>
          <w:tcPr>
            <w:tcW w:w="3402" w:type="dxa"/>
            <w:shd w:val="clear" w:color="auto" w:fill="auto"/>
            <w:hideMark/>
          </w:tcPr>
          <w:p w14:paraId="6399D18D" w14:textId="77777777" w:rsidR="00504FF2" w:rsidRPr="00EC51B4" w:rsidRDefault="00504FF2" w:rsidP="00200840">
            <w:pPr>
              <w:rPr>
                <w:color w:val="000000"/>
                <w:sz w:val="16"/>
                <w:szCs w:val="16"/>
              </w:rPr>
            </w:pPr>
            <w:r w:rsidRPr="00EC51B4">
              <w:rPr>
                <w:color w:val="000000"/>
                <w:sz w:val="16"/>
                <w:szCs w:val="16"/>
              </w:rPr>
              <w:t>Product</w:t>
            </w:r>
          </w:p>
        </w:tc>
        <w:tc>
          <w:tcPr>
            <w:tcW w:w="1134" w:type="dxa"/>
          </w:tcPr>
          <w:p w14:paraId="1F08E8E3" w14:textId="77777777" w:rsidR="00504FF2" w:rsidRPr="00EC51B4" w:rsidRDefault="00504FF2" w:rsidP="00200840">
            <w:pPr>
              <w:jc w:val="right"/>
              <w:rPr>
                <w:color w:val="000000"/>
                <w:sz w:val="16"/>
                <w:szCs w:val="16"/>
              </w:rPr>
            </w:pPr>
          </w:p>
        </w:tc>
      </w:tr>
      <w:tr w:rsidR="00504FF2" w:rsidRPr="00EC51B4" w14:paraId="0A4E4BAA" w14:textId="77777777" w:rsidTr="00200840">
        <w:trPr>
          <w:trHeight w:val="284"/>
        </w:trPr>
        <w:tc>
          <w:tcPr>
            <w:tcW w:w="3402" w:type="dxa"/>
            <w:vMerge/>
            <w:vAlign w:val="center"/>
            <w:hideMark/>
          </w:tcPr>
          <w:p w14:paraId="781D1E3B" w14:textId="77777777" w:rsidR="00504FF2" w:rsidRPr="00EC51B4" w:rsidRDefault="00504FF2" w:rsidP="00200840">
            <w:pPr>
              <w:rPr>
                <w:color w:val="000000"/>
                <w:sz w:val="16"/>
                <w:szCs w:val="16"/>
              </w:rPr>
            </w:pPr>
          </w:p>
        </w:tc>
        <w:tc>
          <w:tcPr>
            <w:tcW w:w="3402" w:type="dxa"/>
            <w:shd w:val="clear" w:color="auto" w:fill="auto"/>
            <w:hideMark/>
          </w:tcPr>
          <w:p w14:paraId="101DB625" w14:textId="77777777" w:rsidR="00504FF2" w:rsidRPr="00EC51B4" w:rsidRDefault="00504FF2" w:rsidP="00200840">
            <w:pPr>
              <w:rPr>
                <w:color w:val="000000"/>
                <w:sz w:val="16"/>
                <w:szCs w:val="16"/>
              </w:rPr>
            </w:pPr>
            <w:r w:rsidRPr="00EC51B4">
              <w:rPr>
                <w:color w:val="000000"/>
                <w:sz w:val="16"/>
                <w:szCs w:val="16"/>
              </w:rPr>
              <w:t>Product  family</w:t>
            </w:r>
          </w:p>
        </w:tc>
        <w:tc>
          <w:tcPr>
            <w:tcW w:w="1134" w:type="dxa"/>
          </w:tcPr>
          <w:p w14:paraId="5EE174E5" w14:textId="77777777" w:rsidR="00504FF2" w:rsidRPr="00EC51B4" w:rsidRDefault="00504FF2" w:rsidP="00200840">
            <w:pPr>
              <w:jc w:val="right"/>
              <w:rPr>
                <w:color w:val="000000"/>
                <w:sz w:val="16"/>
                <w:szCs w:val="16"/>
              </w:rPr>
            </w:pPr>
          </w:p>
        </w:tc>
      </w:tr>
      <w:tr w:rsidR="00504FF2" w:rsidRPr="00EC51B4" w14:paraId="06C930B4" w14:textId="77777777" w:rsidTr="00200840">
        <w:trPr>
          <w:trHeight w:val="284"/>
        </w:trPr>
        <w:tc>
          <w:tcPr>
            <w:tcW w:w="3402" w:type="dxa"/>
            <w:vMerge w:val="restart"/>
            <w:shd w:val="clear" w:color="auto" w:fill="auto"/>
            <w:hideMark/>
          </w:tcPr>
          <w:p w14:paraId="78B95D65" w14:textId="77777777" w:rsidR="00504FF2" w:rsidRPr="00EC51B4" w:rsidRDefault="00504FF2" w:rsidP="00200840">
            <w:pPr>
              <w:rPr>
                <w:color w:val="000000"/>
                <w:sz w:val="16"/>
                <w:szCs w:val="16"/>
              </w:rPr>
            </w:pPr>
            <w:r w:rsidRPr="00EC51B4">
              <w:rPr>
                <w:color w:val="000000"/>
                <w:sz w:val="16"/>
                <w:szCs w:val="16"/>
              </w:rPr>
              <w:t>Mutual recognition</w:t>
            </w:r>
          </w:p>
        </w:tc>
        <w:tc>
          <w:tcPr>
            <w:tcW w:w="3402" w:type="dxa"/>
            <w:shd w:val="clear" w:color="auto" w:fill="auto"/>
            <w:hideMark/>
          </w:tcPr>
          <w:p w14:paraId="7A40E512" w14:textId="77777777" w:rsidR="00504FF2" w:rsidRPr="00EC51B4" w:rsidRDefault="00504FF2" w:rsidP="00200840">
            <w:pPr>
              <w:rPr>
                <w:color w:val="000000"/>
                <w:sz w:val="16"/>
                <w:szCs w:val="16"/>
              </w:rPr>
            </w:pPr>
            <w:r w:rsidRPr="00EC51B4">
              <w:rPr>
                <w:color w:val="000000"/>
                <w:sz w:val="16"/>
                <w:szCs w:val="16"/>
              </w:rPr>
              <w:t>Product</w:t>
            </w:r>
          </w:p>
        </w:tc>
        <w:tc>
          <w:tcPr>
            <w:tcW w:w="1134" w:type="dxa"/>
          </w:tcPr>
          <w:p w14:paraId="26A0EDA2" w14:textId="77777777" w:rsidR="00504FF2" w:rsidRPr="00EC51B4" w:rsidRDefault="00504FF2" w:rsidP="00200840">
            <w:pPr>
              <w:jc w:val="right"/>
              <w:rPr>
                <w:color w:val="000000"/>
                <w:sz w:val="16"/>
                <w:szCs w:val="16"/>
              </w:rPr>
            </w:pPr>
          </w:p>
        </w:tc>
      </w:tr>
      <w:tr w:rsidR="00504FF2" w:rsidRPr="00EC51B4" w14:paraId="2C108ACB" w14:textId="77777777" w:rsidTr="00200840">
        <w:trPr>
          <w:trHeight w:val="284"/>
        </w:trPr>
        <w:tc>
          <w:tcPr>
            <w:tcW w:w="3402" w:type="dxa"/>
            <w:vMerge/>
            <w:vAlign w:val="center"/>
            <w:hideMark/>
          </w:tcPr>
          <w:p w14:paraId="6F5E1C7D" w14:textId="77777777" w:rsidR="00504FF2" w:rsidRPr="00EC51B4" w:rsidRDefault="00504FF2" w:rsidP="00200840">
            <w:pPr>
              <w:rPr>
                <w:color w:val="000000"/>
                <w:sz w:val="16"/>
                <w:szCs w:val="16"/>
              </w:rPr>
            </w:pPr>
          </w:p>
        </w:tc>
        <w:tc>
          <w:tcPr>
            <w:tcW w:w="3402" w:type="dxa"/>
            <w:shd w:val="clear" w:color="auto" w:fill="auto"/>
            <w:hideMark/>
          </w:tcPr>
          <w:p w14:paraId="0877E2F8" w14:textId="77777777" w:rsidR="00504FF2" w:rsidRPr="00EC51B4" w:rsidRDefault="00504FF2" w:rsidP="00200840">
            <w:pPr>
              <w:rPr>
                <w:color w:val="000000"/>
                <w:sz w:val="16"/>
                <w:szCs w:val="16"/>
              </w:rPr>
            </w:pPr>
            <w:r w:rsidRPr="00EC51B4">
              <w:rPr>
                <w:color w:val="000000"/>
                <w:sz w:val="16"/>
                <w:szCs w:val="16"/>
              </w:rPr>
              <w:t>Product  family</w:t>
            </w:r>
          </w:p>
        </w:tc>
        <w:tc>
          <w:tcPr>
            <w:tcW w:w="1134" w:type="dxa"/>
          </w:tcPr>
          <w:p w14:paraId="7A4B0BCC" w14:textId="77777777" w:rsidR="00504FF2" w:rsidRPr="00EC51B4" w:rsidRDefault="00504FF2" w:rsidP="00200840">
            <w:pPr>
              <w:jc w:val="right"/>
              <w:rPr>
                <w:color w:val="000000"/>
                <w:sz w:val="16"/>
                <w:szCs w:val="16"/>
              </w:rPr>
            </w:pPr>
          </w:p>
        </w:tc>
      </w:tr>
      <w:tr w:rsidR="00504FF2" w:rsidRPr="00EC51B4" w14:paraId="55A8EFE8" w14:textId="77777777" w:rsidTr="00200840">
        <w:trPr>
          <w:trHeight w:val="284"/>
        </w:trPr>
        <w:tc>
          <w:tcPr>
            <w:tcW w:w="3402" w:type="dxa"/>
            <w:vMerge w:val="restart"/>
            <w:shd w:val="clear" w:color="auto" w:fill="auto"/>
            <w:hideMark/>
          </w:tcPr>
          <w:p w14:paraId="11A966FD" w14:textId="77777777" w:rsidR="00504FF2" w:rsidRPr="00EC51B4" w:rsidRDefault="00504FF2" w:rsidP="00200840">
            <w:pPr>
              <w:rPr>
                <w:color w:val="000000"/>
                <w:sz w:val="16"/>
                <w:szCs w:val="16"/>
              </w:rPr>
            </w:pPr>
            <w:r w:rsidRPr="00EC51B4">
              <w:rPr>
                <w:color w:val="000000"/>
                <w:sz w:val="16"/>
                <w:szCs w:val="16"/>
              </w:rPr>
              <w:t>Simplified procedure</w:t>
            </w:r>
          </w:p>
        </w:tc>
        <w:tc>
          <w:tcPr>
            <w:tcW w:w="3402" w:type="dxa"/>
            <w:shd w:val="clear" w:color="auto" w:fill="auto"/>
            <w:hideMark/>
          </w:tcPr>
          <w:p w14:paraId="2AE0B833" w14:textId="77777777" w:rsidR="00504FF2" w:rsidRPr="00EC51B4" w:rsidRDefault="00504FF2" w:rsidP="00200840">
            <w:pPr>
              <w:rPr>
                <w:color w:val="000000"/>
                <w:sz w:val="16"/>
                <w:szCs w:val="16"/>
              </w:rPr>
            </w:pPr>
            <w:r w:rsidRPr="00EC51B4">
              <w:rPr>
                <w:color w:val="000000"/>
                <w:sz w:val="16"/>
                <w:szCs w:val="16"/>
              </w:rPr>
              <w:t>Product</w:t>
            </w:r>
          </w:p>
        </w:tc>
        <w:tc>
          <w:tcPr>
            <w:tcW w:w="1134" w:type="dxa"/>
          </w:tcPr>
          <w:p w14:paraId="0A075087" w14:textId="77777777" w:rsidR="00504FF2" w:rsidRPr="00EC51B4" w:rsidRDefault="00504FF2" w:rsidP="00200840">
            <w:pPr>
              <w:jc w:val="right"/>
              <w:rPr>
                <w:color w:val="000000"/>
                <w:sz w:val="16"/>
                <w:szCs w:val="16"/>
              </w:rPr>
            </w:pPr>
          </w:p>
        </w:tc>
      </w:tr>
      <w:tr w:rsidR="00504FF2" w:rsidRPr="00EC51B4" w14:paraId="0C4F8F54" w14:textId="77777777" w:rsidTr="00200840">
        <w:trPr>
          <w:trHeight w:val="284"/>
        </w:trPr>
        <w:tc>
          <w:tcPr>
            <w:tcW w:w="3402" w:type="dxa"/>
            <w:vMerge/>
            <w:vAlign w:val="center"/>
            <w:hideMark/>
          </w:tcPr>
          <w:p w14:paraId="4D087F35" w14:textId="77777777" w:rsidR="00504FF2" w:rsidRPr="00EC51B4" w:rsidRDefault="00504FF2" w:rsidP="00200840">
            <w:pPr>
              <w:rPr>
                <w:color w:val="000000"/>
                <w:sz w:val="16"/>
                <w:szCs w:val="16"/>
              </w:rPr>
            </w:pPr>
          </w:p>
        </w:tc>
        <w:tc>
          <w:tcPr>
            <w:tcW w:w="3402" w:type="dxa"/>
            <w:shd w:val="clear" w:color="auto" w:fill="auto"/>
            <w:hideMark/>
          </w:tcPr>
          <w:p w14:paraId="5A04EB9E" w14:textId="77777777" w:rsidR="00504FF2" w:rsidRPr="00EC51B4" w:rsidRDefault="00504FF2" w:rsidP="00200840">
            <w:pPr>
              <w:rPr>
                <w:color w:val="000000"/>
                <w:sz w:val="16"/>
                <w:szCs w:val="16"/>
              </w:rPr>
            </w:pPr>
            <w:r w:rsidRPr="00EC51B4">
              <w:rPr>
                <w:color w:val="000000"/>
                <w:sz w:val="16"/>
                <w:szCs w:val="16"/>
              </w:rPr>
              <w:t>Product  family</w:t>
            </w:r>
          </w:p>
        </w:tc>
        <w:tc>
          <w:tcPr>
            <w:tcW w:w="1134" w:type="dxa"/>
          </w:tcPr>
          <w:p w14:paraId="09D004A9" w14:textId="77777777" w:rsidR="00504FF2" w:rsidRPr="00EC51B4" w:rsidRDefault="00504FF2" w:rsidP="00200840">
            <w:pPr>
              <w:jc w:val="right"/>
              <w:rPr>
                <w:color w:val="000000"/>
                <w:sz w:val="16"/>
                <w:szCs w:val="16"/>
              </w:rPr>
            </w:pPr>
          </w:p>
        </w:tc>
      </w:tr>
      <w:tr w:rsidR="00504FF2" w:rsidRPr="00EC51B4" w14:paraId="6C8D037D" w14:textId="77777777" w:rsidTr="00200840">
        <w:trPr>
          <w:trHeight w:val="284"/>
        </w:trPr>
        <w:tc>
          <w:tcPr>
            <w:tcW w:w="3402" w:type="dxa"/>
            <w:vMerge w:val="restart"/>
            <w:shd w:val="clear" w:color="auto" w:fill="auto"/>
            <w:hideMark/>
          </w:tcPr>
          <w:p w14:paraId="633A4B60" w14:textId="77777777" w:rsidR="00504FF2" w:rsidRPr="00EC51B4" w:rsidRDefault="00504FF2" w:rsidP="00200840">
            <w:pPr>
              <w:rPr>
                <w:color w:val="000000"/>
                <w:sz w:val="16"/>
                <w:szCs w:val="16"/>
              </w:rPr>
            </w:pPr>
            <w:r w:rsidRPr="00EC51B4">
              <w:rPr>
                <w:color w:val="000000"/>
                <w:sz w:val="16"/>
                <w:szCs w:val="16"/>
              </w:rPr>
              <w:t>Changes in existing applications</w:t>
            </w:r>
          </w:p>
        </w:tc>
        <w:tc>
          <w:tcPr>
            <w:tcW w:w="3402" w:type="dxa"/>
            <w:shd w:val="clear" w:color="auto" w:fill="auto"/>
            <w:hideMark/>
          </w:tcPr>
          <w:p w14:paraId="4E6A951D" w14:textId="77777777" w:rsidR="00504FF2" w:rsidRPr="00EC51B4" w:rsidRDefault="00504FF2" w:rsidP="00200840">
            <w:pPr>
              <w:rPr>
                <w:color w:val="000000"/>
                <w:sz w:val="16"/>
                <w:szCs w:val="16"/>
              </w:rPr>
            </w:pPr>
            <w:r w:rsidRPr="00EC51B4">
              <w:rPr>
                <w:color w:val="000000"/>
                <w:sz w:val="16"/>
                <w:szCs w:val="16"/>
              </w:rPr>
              <w:t>Major changes in a product approved under a EU authorisation</w:t>
            </w:r>
          </w:p>
        </w:tc>
        <w:tc>
          <w:tcPr>
            <w:tcW w:w="1134" w:type="dxa"/>
          </w:tcPr>
          <w:p w14:paraId="69E7614F" w14:textId="77777777" w:rsidR="00504FF2" w:rsidRPr="00EC51B4" w:rsidRDefault="00504FF2" w:rsidP="00200840">
            <w:pPr>
              <w:jc w:val="right"/>
              <w:rPr>
                <w:color w:val="000000"/>
                <w:sz w:val="16"/>
                <w:szCs w:val="16"/>
              </w:rPr>
            </w:pPr>
          </w:p>
        </w:tc>
      </w:tr>
      <w:tr w:rsidR="00504FF2" w:rsidRPr="00EC51B4" w14:paraId="5D948B3D" w14:textId="77777777" w:rsidTr="00200840">
        <w:trPr>
          <w:trHeight w:val="284"/>
        </w:trPr>
        <w:tc>
          <w:tcPr>
            <w:tcW w:w="3402" w:type="dxa"/>
            <w:vMerge/>
            <w:vAlign w:val="center"/>
            <w:hideMark/>
          </w:tcPr>
          <w:p w14:paraId="78CBD2E9" w14:textId="77777777" w:rsidR="00504FF2" w:rsidRPr="00EC51B4" w:rsidRDefault="00504FF2" w:rsidP="00200840">
            <w:pPr>
              <w:rPr>
                <w:color w:val="000000"/>
                <w:sz w:val="16"/>
                <w:szCs w:val="16"/>
              </w:rPr>
            </w:pPr>
          </w:p>
        </w:tc>
        <w:tc>
          <w:tcPr>
            <w:tcW w:w="3402" w:type="dxa"/>
            <w:shd w:val="clear" w:color="auto" w:fill="auto"/>
            <w:hideMark/>
          </w:tcPr>
          <w:p w14:paraId="3E672244" w14:textId="77777777" w:rsidR="00504FF2" w:rsidRPr="00EC51B4" w:rsidRDefault="00504FF2" w:rsidP="00200840">
            <w:pPr>
              <w:rPr>
                <w:color w:val="000000"/>
                <w:sz w:val="16"/>
                <w:szCs w:val="16"/>
              </w:rPr>
            </w:pPr>
            <w:r w:rsidRPr="00EC51B4">
              <w:rPr>
                <w:color w:val="000000"/>
                <w:sz w:val="16"/>
                <w:szCs w:val="16"/>
              </w:rPr>
              <w:t>Major changes in a product family approved under a EU authorisation</w:t>
            </w:r>
          </w:p>
        </w:tc>
        <w:tc>
          <w:tcPr>
            <w:tcW w:w="1134" w:type="dxa"/>
          </w:tcPr>
          <w:p w14:paraId="159A5AA8" w14:textId="77777777" w:rsidR="00504FF2" w:rsidRPr="00EC51B4" w:rsidRDefault="00504FF2" w:rsidP="00200840">
            <w:pPr>
              <w:jc w:val="right"/>
              <w:rPr>
                <w:color w:val="000000"/>
                <w:sz w:val="16"/>
                <w:szCs w:val="16"/>
              </w:rPr>
            </w:pPr>
          </w:p>
        </w:tc>
      </w:tr>
      <w:tr w:rsidR="00504FF2" w:rsidRPr="00EC51B4" w14:paraId="0BE09E0B" w14:textId="77777777" w:rsidTr="00200840">
        <w:trPr>
          <w:trHeight w:val="284"/>
        </w:trPr>
        <w:tc>
          <w:tcPr>
            <w:tcW w:w="3402" w:type="dxa"/>
            <w:vMerge/>
            <w:vAlign w:val="center"/>
            <w:hideMark/>
          </w:tcPr>
          <w:p w14:paraId="26AE8372" w14:textId="77777777" w:rsidR="00504FF2" w:rsidRPr="00EC51B4" w:rsidRDefault="00504FF2" w:rsidP="00200840">
            <w:pPr>
              <w:rPr>
                <w:color w:val="000000"/>
                <w:sz w:val="16"/>
                <w:szCs w:val="16"/>
              </w:rPr>
            </w:pPr>
          </w:p>
        </w:tc>
        <w:tc>
          <w:tcPr>
            <w:tcW w:w="3402" w:type="dxa"/>
            <w:shd w:val="clear" w:color="auto" w:fill="auto"/>
            <w:hideMark/>
          </w:tcPr>
          <w:p w14:paraId="0FF56F8E" w14:textId="77777777" w:rsidR="00504FF2" w:rsidRPr="00EC51B4" w:rsidRDefault="00504FF2" w:rsidP="00200840">
            <w:pPr>
              <w:rPr>
                <w:color w:val="000000"/>
                <w:sz w:val="16"/>
                <w:szCs w:val="16"/>
              </w:rPr>
            </w:pPr>
            <w:r w:rsidRPr="00EC51B4">
              <w:rPr>
                <w:color w:val="000000"/>
                <w:sz w:val="16"/>
                <w:szCs w:val="16"/>
              </w:rPr>
              <w:t>Major changes pr. product, national application or mutual recognition, where Denmark is rapporteur member state</w:t>
            </w:r>
          </w:p>
        </w:tc>
        <w:tc>
          <w:tcPr>
            <w:tcW w:w="1134" w:type="dxa"/>
          </w:tcPr>
          <w:p w14:paraId="55C54478" w14:textId="77777777" w:rsidR="00504FF2" w:rsidRPr="00EC51B4" w:rsidRDefault="00504FF2" w:rsidP="00200840">
            <w:pPr>
              <w:jc w:val="right"/>
              <w:rPr>
                <w:color w:val="000000"/>
                <w:sz w:val="16"/>
                <w:szCs w:val="16"/>
              </w:rPr>
            </w:pPr>
          </w:p>
        </w:tc>
      </w:tr>
      <w:tr w:rsidR="00504FF2" w:rsidRPr="00EC51B4" w14:paraId="161785CC" w14:textId="77777777" w:rsidTr="00200840">
        <w:trPr>
          <w:trHeight w:val="284"/>
        </w:trPr>
        <w:tc>
          <w:tcPr>
            <w:tcW w:w="3402" w:type="dxa"/>
            <w:vMerge/>
            <w:vAlign w:val="center"/>
            <w:hideMark/>
          </w:tcPr>
          <w:p w14:paraId="431BB56E" w14:textId="77777777" w:rsidR="00504FF2" w:rsidRPr="00EC51B4" w:rsidRDefault="00504FF2" w:rsidP="00200840">
            <w:pPr>
              <w:rPr>
                <w:color w:val="000000"/>
                <w:sz w:val="16"/>
                <w:szCs w:val="16"/>
              </w:rPr>
            </w:pPr>
          </w:p>
        </w:tc>
        <w:tc>
          <w:tcPr>
            <w:tcW w:w="3402" w:type="dxa"/>
            <w:shd w:val="clear" w:color="auto" w:fill="auto"/>
            <w:hideMark/>
          </w:tcPr>
          <w:p w14:paraId="190C27F6" w14:textId="77777777" w:rsidR="00504FF2" w:rsidRPr="00EC51B4" w:rsidRDefault="00504FF2" w:rsidP="00200840">
            <w:pPr>
              <w:rPr>
                <w:color w:val="000000"/>
                <w:sz w:val="16"/>
                <w:szCs w:val="16"/>
              </w:rPr>
            </w:pPr>
            <w:r w:rsidRPr="00EC51B4">
              <w:rPr>
                <w:color w:val="000000"/>
                <w:sz w:val="16"/>
                <w:szCs w:val="16"/>
              </w:rPr>
              <w:t>Major changes pr. Product family, national application or mutual recognition, where Denmark is rapporteur member state</w:t>
            </w:r>
          </w:p>
        </w:tc>
        <w:tc>
          <w:tcPr>
            <w:tcW w:w="1134" w:type="dxa"/>
          </w:tcPr>
          <w:p w14:paraId="0265CA88" w14:textId="77777777" w:rsidR="00504FF2" w:rsidRPr="00EC51B4" w:rsidRDefault="00504FF2" w:rsidP="00200840">
            <w:pPr>
              <w:jc w:val="right"/>
              <w:rPr>
                <w:color w:val="000000"/>
                <w:sz w:val="16"/>
                <w:szCs w:val="16"/>
              </w:rPr>
            </w:pPr>
          </w:p>
        </w:tc>
      </w:tr>
      <w:tr w:rsidR="00504FF2" w:rsidRPr="00EC51B4" w14:paraId="7D09B211" w14:textId="77777777" w:rsidTr="00200840">
        <w:trPr>
          <w:trHeight w:val="284"/>
        </w:trPr>
        <w:tc>
          <w:tcPr>
            <w:tcW w:w="3402" w:type="dxa"/>
            <w:vMerge/>
            <w:vAlign w:val="center"/>
            <w:hideMark/>
          </w:tcPr>
          <w:p w14:paraId="1F74940B" w14:textId="77777777" w:rsidR="00504FF2" w:rsidRPr="00EC51B4" w:rsidRDefault="00504FF2" w:rsidP="00200840">
            <w:pPr>
              <w:rPr>
                <w:color w:val="000000"/>
                <w:sz w:val="16"/>
                <w:szCs w:val="16"/>
              </w:rPr>
            </w:pPr>
          </w:p>
        </w:tc>
        <w:tc>
          <w:tcPr>
            <w:tcW w:w="3402" w:type="dxa"/>
            <w:shd w:val="clear" w:color="auto" w:fill="auto"/>
            <w:hideMark/>
          </w:tcPr>
          <w:p w14:paraId="56602590" w14:textId="77777777" w:rsidR="00504FF2" w:rsidRPr="00EC51B4" w:rsidRDefault="00504FF2" w:rsidP="00200840">
            <w:pPr>
              <w:rPr>
                <w:color w:val="000000"/>
                <w:sz w:val="16"/>
                <w:szCs w:val="16"/>
              </w:rPr>
            </w:pPr>
            <w:r w:rsidRPr="00EC51B4">
              <w:rPr>
                <w:color w:val="000000"/>
                <w:sz w:val="16"/>
                <w:szCs w:val="16"/>
              </w:rPr>
              <w:t>Major changes pr. product, national application or mutual recognition, where Denmark is concerned member state</w:t>
            </w:r>
          </w:p>
        </w:tc>
        <w:tc>
          <w:tcPr>
            <w:tcW w:w="1134" w:type="dxa"/>
          </w:tcPr>
          <w:p w14:paraId="418DEEA9" w14:textId="77777777" w:rsidR="00504FF2" w:rsidRPr="00EC51B4" w:rsidRDefault="00504FF2" w:rsidP="00200840">
            <w:pPr>
              <w:jc w:val="right"/>
              <w:rPr>
                <w:color w:val="000000"/>
                <w:sz w:val="16"/>
                <w:szCs w:val="16"/>
              </w:rPr>
            </w:pPr>
          </w:p>
        </w:tc>
      </w:tr>
      <w:tr w:rsidR="00504FF2" w:rsidRPr="00EC51B4" w14:paraId="5BC9299D" w14:textId="77777777" w:rsidTr="00200840">
        <w:trPr>
          <w:trHeight w:val="284"/>
        </w:trPr>
        <w:tc>
          <w:tcPr>
            <w:tcW w:w="3402" w:type="dxa"/>
            <w:vMerge/>
            <w:vAlign w:val="center"/>
            <w:hideMark/>
          </w:tcPr>
          <w:p w14:paraId="78012CDC" w14:textId="77777777" w:rsidR="00504FF2" w:rsidRPr="00EC51B4" w:rsidRDefault="00504FF2" w:rsidP="00200840">
            <w:pPr>
              <w:rPr>
                <w:color w:val="000000"/>
                <w:sz w:val="16"/>
                <w:szCs w:val="16"/>
              </w:rPr>
            </w:pPr>
          </w:p>
        </w:tc>
        <w:tc>
          <w:tcPr>
            <w:tcW w:w="3402" w:type="dxa"/>
            <w:shd w:val="clear" w:color="auto" w:fill="auto"/>
            <w:hideMark/>
          </w:tcPr>
          <w:p w14:paraId="6022E955" w14:textId="77777777" w:rsidR="00504FF2" w:rsidRPr="00EC51B4" w:rsidRDefault="00504FF2" w:rsidP="00200840">
            <w:pPr>
              <w:rPr>
                <w:color w:val="000000"/>
                <w:sz w:val="16"/>
                <w:szCs w:val="16"/>
              </w:rPr>
            </w:pPr>
            <w:r w:rsidRPr="00EC51B4">
              <w:rPr>
                <w:color w:val="000000"/>
                <w:sz w:val="16"/>
                <w:szCs w:val="16"/>
              </w:rPr>
              <w:t>Major changes pr. Product family, national application or mutual recognition, where Denmark is concerned member state</w:t>
            </w:r>
          </w:p>
        </w:tc>
        <w:tc>
          <w:tcPr>
            <w:tcW w:w="1134" w:type="dxa"/>
          </w:tcPr>
          <w:p w14:paraId="365E53FF" w14:textId="77777777" w:rsidR="00504FF2" w:rsidRPr="00EC51B4" w:rsidRDefault="00504FF2" w:rsidP="00200840">
            <w:pPr>
              <w:jc w:val="right"/>
              <w:rPr>
                <w:color w:val="000000"/>
                <w:sz w:val="16"/>
                <w:szCs w:val="16"/>
              </w:rPr>
            </w:pPr>
          </w:p>
        </w:tc>
      </w:tr>
      <w:tr w:rsidR="00504FF2" w:rsidRPr="00EC51B4" w14:paraId="56F10C09" w14:textId="77777777" w:rsidTr="00200840">
        <w:trPr>
          <w:trHeight w:val="284"/>
        </w:trPr>
        <w:tc>
          <w:tcPr>
            <w:tcW w:w="3402" w:type="dxa"/>
            <w:shd w:val="clear" w:color="auto" w:fill="auto"/>
            <w:noWrap/>
            <w:hideMark/>
          </w:tcPr>
          <w:p w14:paraId="4F4E4CEB" w14:textId="77777777" w:rsidR="00504FF2" w:rsidRPr="00EC51B4" w:rsidRDefault="00504FF2" w:rsidP="00200840">
            <w:pPr>
              <w:rPr>
                <w:color w:val="000000"/>
                <w:sz w:val="16"/>
                <w:szCs w:val="16"/>
              </w:rPr>
            </w:pPr>
            <w:r w:rsidRPr="00EC51B4">
              <w:rPr>
                <w:color w:val="000000"/>
                <w:sz w:val="16"/>
                <w:szCs w:val="16"/>
              </w:rPr>
              <w:t> </w:t>
            </w:r>
          </w:p>
        </w:tc>
        <w:tc>
          <w:tcPr>
            <w:tcW w:w="3402" w:type="dxa"/>
            <w:shd w:val="clear" w:color="auto" w:fill="auto"/>
            <w:hideMark/>
          </w:tcPr>
          <w:p w14:paraId="09E9A7E5" w14:textId="77777777" w:rsidR="00504FF2" w:rsidRPr="00EC51B4" w:rsidRDefault="00504FF2" w:rsidP="00200840">
            <w:pPr>
              <w:rPr>
                <w:color w:val="000000"/>
                <w:sz w:val="16"/>
                <w:szCs w:val="16"/>
              </w:rPr>
            </w:pPr>
            <w:r w:rsidRPr="00EC51B4">
              <w:rPr>
                <w:color w:val="000000"/>
                <w:sz w:val="16"/>
                <w:szCs w:val="16"/>
              </w:rPr>
              <w:t>Derogation</w:t>
            </w:r>
          </w:p>
        </w:tc>
        <w:tc>
          <w:tcPr>
            <w:tcW w:w="1134" w:type="dxa"/>
          </w:tcPr>
          <w:p w14:paraId="63DAAB78" w14:textId="77777777" w:rsidR="00504FF2" w:rsidRPr="00EC51B4" w:rsidRDefault="00504FF2" w:rsidP="00200840">
            <w:pPr>
              <w:jc w:val="right"/>
              <w:rPr>
                <w:color w:val="000000"/>
                <w:sz w:val="16"/>
                <w:szCs w:val="16"/>
              </w:rPr>
            </w:pPr>
          </w:p>
        </w:tc>
      </w:tr>
    </w:tbl>
    <w:p w14:paraId="7CF24605" w14:textId="3A2EA53D" w:rsidR="00147799" w:rsidRPr="00EC51B4" w:rsidRDefault="004843A0" w:rsidP="00147799">
      <w:r w:rsidRPr="00EC51B4">
        <w:t>Annex I B – suggestions for the most common application types</w:t>
      </w:r>
    </w:p>
    <w:sectPr w:rsidR="00147799" w:rsidRPr="00EC51B4"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C1C7" w14:textId="77777777" w:rsidR="0017233D" w:rsidRDefault="0017233D">
      <w:r>
        <w:separator/>
      </w:r>
    </w:p>
  </w:endnote>
  <w:endnote w:type="continuationSeparator" w:id="0">
    <w:p w14:paraId="7A23AC86" w14:textId="77777777" w:rsidR="0017233D" w:rsidRDefault="0017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F140" w14:textId="4CEB23BC"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F4892">
      <w:rPr>
        <w:rStyle w:val="Sidetal"/>
        <w:noProof/>
      </w:rPr>
      <w:t>5</w:t>
    </w:r>
    <w:r>
      <w:rPr>
        <w:rStyle w:val="Sidetal"/>
      </w:rPr>
      <w:fldChar w:fldCharType="end"/>
    </w:r>
  </w:p>
  <w:p w14:paraId="600EC238"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94C2" w14:textId="5E102AA5"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945B8A">
      <w:rPr>
        <w:rStyle w:val="Sidetal"/>
        <w:noProof/>
      </w:rPr>
      <w:t>4</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4183" w14:textId="40A1E7E9" w:rsidR="004B68AD" w:rsidRPr="00EC51B4" w:rsidRDefault="00EC51B4" w:rsidP="004B68AD">
    <w:pPr>
      <w:pStyle w:val="Template-Address"/>
    </w:pPr>
    <w:bookmarkStart w:id="12" w:name="OFF_Institution"/>
    <w:bookmarkStart w:id="13" w:name="OFF_InstitutionHIF"/>
    <w:bookmarkStart w:id="14" w:name="XIF_MMFirstAddressLine"/>
    <w:r w:rsidRPr="00EC51B4">
      <w:t>Environmental Protection Agency</w:t>
    </w:r>
    <w:bookmarkEnd w:id="12"/>
    <w:r w:rsidR="004B68AD" w:rsidRPr="00EC51B4">
      <w:t xml:space="preserve"> </w:t>
    </w:r>
    <w:bookmarkEnd w:id="13"/>
    <w:r w:rsidR="004B68AD" w:rsidRPr="00EC51B4">
      <w:t xml:space="preserve">• </w:t>
    </w:r>
    <w:bookmarkStart w:id="15" w:name="OFF_AddressA"/>
    <w:bookmarkStart w:id="16" w:name="OFF_AddressAHIF"/>
    <w:r w:rsidRPr="00EC51B4">
      <w:t>Tolderlundsvej 5</w:t>
    </w:r>
    <w:bookmarkEnd w:id="15"/>
    <w:r w:rsidR="004B68AD" w:rsidRPr="00EC51B4">
      <w:t xml:space="preserve"> </w:t>
    </w:r>
    <w:bookmarkEnd w:id="16"/>
    <w:r w:rsidR="004B68AD" w:rsidRPr="00EC51B4">
      <w:rPr>
        <w:vanish/>
      </w:rPr>
      <w:t xml:space="preserve">• </w:t>
    </w:r>
    <w:bookmarkStart w:id="17" w:name="OFF_AddressB"/>
    <w:bookmarkStart w:id="18" w:name="OFF_AddressBHIF"/>
    <w:bookmarkEnd w:id="17"/>
    <w:r w:rsidR="004B68AD" w:rsidRPr="00EC51B4">
      <w:rPr>
        <w:vanish/>
      </w:rPr>
      <w:t xml:space="preserve"> </w:t>
    </w:r>
    <w:bookmarkEnd w:id="18"/>
    <w:r w:rsidR="004B68AD" w:rsidRPr="00EC51B4">
      <w:rPr>
        <w:vanish/>
      </w:rPr>
      <w:t xml:space="preserve">• </w:t>
    </w:r>
    <w:bookmarkStart w:id="19" w:name="OFF_AddressC"/>
    <w:bookmarkStart w:id="20" w:name="OFF_AddressCHIF"/>
    <w:bookmarkEnd w:id="19"/>
    <w:r w:rsidR="004B68AD" w:rsidRPr="00EC51B4">
      <w:rPr>
        <w:vanish/>
      </w:rPr>
      <w:t xml:space="preserve"> </w:t>
    </w:r>
    <w:bookmarkEnd w:id="20"/>
    <w:r w:rsidR="004B68AD" w:rsidRPr="00EC51B4">
      <w:t xml:space="preserve">• </w:t>
    </w:r>
    <w:bookmarkStart w:id="21" w:name="OFF_AddressD"/>
    <w:bookmarkStart w:id="22" w:name="OFF_AddressDHIF"/>
    <w:r w:rsidRPr="00EC51B4">
      <w:t>5000</w:t>
    </w:r>
    <w:bookmarkEnd w:id="21"/>
    <w:r w:rsidR="004B68AD" w:rsidRPr="00EC51B4">
      <w:t xml:space="preserve"> </w:t>
    </w:r>
    <w:bookmarkStart w:id="23" w:name="OFF_City"/>
    <w:r>
      <w:t>Odense C Denmark</w:t>
    </w:r>
    <w:bookmarkEnd w:id="23"/>
    <w:r w:rsidR="004B68AD" w:rsidRPr="00EC51B4">
      <w:t xml:space="preserve"> </w:t>
    </w:r>
    <w:bookmarkEnd w:id="22"/>
  </w:p>
  <w:p w14:paraId="2F582CA9" w14:textId="3EAF21C5" w:rsidR="004B68AD" w:rsidRPr="00D53F46" w:rsidRDefault="00EC51B4" w:rsidP="004B68AD">
    <w:pPr>
      <w:pStyle w:val="Template-Address"/>
    </w:pPr>
    <w:bookmarkStart w:id="24" w:name="LAN_Phone"/>
    <w:bookmarkStart w:id="25" w:name="OFF_PhoneHIF"/>
    <w:bookmarkStart w:id="26" w:name="XIF_MMSecondAddressLine"/>
    <w:bookmarkEnd w:id="14"/>
    <w:r w:rsidRPr="00EC51B4">
      <w:t>Phone</w:t>
    </w:r>
    <w:bookmarkEnd w:id="24"/>
    <w:r w:rsidR="004B68AD" w:rsidRPr="00EC51B4">
      <w:t xml:space="preserve"> </w:t>
    </w:r>
    <w:bookmarkStart w:id="27" w:name="OFF_Phone"/>
    <w:r w:rsidRPr="00EC51B4">
      <w:t>+45 72 54 40 00</w:t>
    </w:r>
    <w:bookmarkEnd w:id="27"/>
    <w:r w:rsidR="004B68AD" w:rsidRPr="00EC51B4">
      <w:t xml:space="preserve"> </w:t>
    </w:r>
    <w:bookmarkEnd w:id="25"/>
    <w:r w:rsidR="004B68AD" w:rsidRPr="00EC51B4">
      <w:rPr>
        <w:vanish/>
      </w:rPr>
      <w:t xml:space="preserve">• </w:t>
    </w:r>
    <w:bookmarkStart w:id="28" w:name="LAN_Fax"/>
    <w:bookmarkStart w:id="29" w:name="OFF_FaxHIF"/>
    <w:r w:rsidRPr="00EC51B4">
      <w:rPr>
        <w:vanish/>
      </w:rPr>
      <w:t>Fax</w:t>
    </w:r>
    <w:bookmarkEnd w:id="28"/>
    <w:r w:rsidR="004B68AD" w:rsidRPr="00EC51B4">
      <w:rPr>
        <w:vanish/>
      </w:rPr>
      <w:t xml:space="preserve"> </w:t>
    </w:r>
    <w:bookmarkStart w:id="30" w:name="OFF_Fax"/>
    <w:bookmarkEnd w:id="30"/>
    <w:r w:rsidR="004B68AD" w:rsidRPr="00EC51B4">
      <w:rPr>
        <w:vanish/>
      </w:rPr>
      <w:t xml:space="preserve"> </w:t>
    </w:r>
    <w:bookmarkEnd w:id="29"/>
    <w:r w:rsidR="004B68AD" w:rsidRPr="00EC51B4">
      <w:t xml:space="preserve">• </w:t>
    </w:r>
    <w:bookmarkStart w:id="31" w:name="OFF_CVRHIF"/>
    <w:r w:rsidR="004B68AD" w:rsidRPr="00EC51B4">
      <w:t xml:space="preserve">CVR </w:t>
    </w:r>
    <w:bookmarkStart w:id="32" w:name="OFF_CVR"/>
    <w:r w:rsidRPr="00EC51B4">
      <w:t>25798376</w:t>
    </w:r>
    <w:bookmarkEnd w:id="32"/>
    <w:r w:rsidR="004B68AD" w:rsidRPr="00EC51B4">
      <w:t xml:space="preserve"> </w:t>
    </w:r>
    <w:bookmarkEnd w:id="31"/>
    <w:r w:rsidR="004B68AD" w:rsidRPr="00EC51B4">
      <w:t xml:space="preserve">• </w:t>
    </w:r>
    <w:bookmarkStart w:id="33" w:name="OFF_EANHIF"/>
    <w:r w:rsidR="004B68AD" w:rsidRPr="00EC51B4">
      <w:t xml:space="preserve">EAN </w:t>
    </w:r>
    <w:bookmarkStart w:id="34" w:name="OFF_EAN"/>
    <w:r w:rsidRPr="00EC51B4">
      <w:t>5798000860810</w:t>
    </w:r>
    <w:bookmarkEnd w:id="34"/>
    <w:r w:rsidR="004B68AD" w:rsidRPr="00EC51B4">
      <w:t xml:space="preserve"> </w:t>
    </w:r>
    <w:bookmarkEnd w:id="33"/>
    <w:r w:rsidR="004B68AD" w:rsidRPr="00EC51B4">
      <w:t xml:space="preserve">• </w:t>
    </w:r>
    <w:bookmarkStart w:id="35" w:name="OFF_Email"/>
    <w:bookmarkStart w:id="36" w:name="OFF_EmailHIF"/>
    <w:r w:rsidRPr="00EC51B4">
      <w:t>mst@mst.dk</w:t>
    </w:r>
    <w:bookmarkEnd w:id="35"/>
    <w:r w:rsidR="004B68AD" w:rsidRPr="00EC51B4">
      <w:t xml:space="preserve"> </w:t>
    </w:r>
    <w:bookmarkEnd w:id="36"/>
    <w:r w:rsidR="004B68AD" w:rsidRPr="00EC51B4">
      <w:t xml:space="preserve">• </w:t>
    </w:r>
    <w:bookmarkStart w:id="37" w:name="OFF_Web"/>
    <w:bookmarkStart w:id="38" w:name="OFF_WebHIF"/>
    <w:r w:rsidRPr="00EC51B4">
      <w:t>www.mst.dk</w:t>
    </w:r>
    <w:bookmarkEnd w:id="37"/>
    <w:r w:rsidR="004B68AD" w:rsidRPr="00EC51B4">
      <w:t xml:space="preserve"> </w:t>
    </w:r>
    <w:bookmarkEnd w:id="26"/>
    <w:bookmarkEnd w:id="38"/>
  </w:p>
  <w:p w14:paraId="1545656C" w14:textId="1A5F656A" w:rsidR="0048667B" w:rsidRPr="00D53F46" w:rsidRDefault="0048667B"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BDA2" w14:textId="77777777" w:rsidR="0017233D" w:rsidRDefault="0017233D">
      <w:r>
        <w:separator/>
      </w:r>
    </w:p>
  </w:footnote>
  <w:footnote w:type="continuationSeparator" w:id="0">
    <w:p w14:paraId="7BB725E9" w14:textId="77777777" w:rsidR="0017233D" w:rsidRDefault="0017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193" w14:textId="77777777" w:rsidR="000E717B" w:rsidRDefault="000E717B">
    <w:pPr>
      <w:pStyle w:val="Sidehoved"/>
    </w:pPr>
  </w:p>
  <w:p w14:paraId="4E3313EF"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35A3" w14:textId="14A4FBE7" w:rsidR="004B68AD" w:rsidRPr="00326292" w:rsidRDefault="00EC51B4" w:rsidP="004B68AD">
    <w:bookmarkStart w:id="1" w:name="FLD_DocumentName"/>
    <w:r>
      <w:rPr>
        <w:noProof/>
        <w:lang w:val="da-DK"/>
      </w:rPr>
      <w:drawing>
        <wp:anchor distT="0" distB="0" distL="114300" distR="114300" simplePos="0" relativeHeight="251659264" behindDoc="0" locked="1" layoutInCell="1" allowOverlap="1" wp14:anchorId="1DD36CD8" wp14:editId="32A084DB">
          <wp:simplePos x="0" y="0"/>
          <wp:positionH relativeFrom="rightMargin">
            <wp:align>right</wp:align>
          </wp:positionH>
          <wp:positionV relativeFrom="page">
            <wp:posOffset>431800</wp:posOffset>
          </wp:positionV>
          <wp:extent cx="2627626" cy="79057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790575"/>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lang w:val="da-DK"/>
      </w:rPr>
      <mc:AlternateContent>
        <mc:Choice Requires="wps">
          <w:drawing>
            <wp:anchor distT="0" distB="0" distL="114300" distR="114300" simplePos="0" relativeHeight="251658240" behindDoc="0" locked="1" layoutInCell="1" allowOverlap="1" wp14:anchorId="300C9983" wp14:editId="4C76068B">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BCEB322" w14:textId="77777777">
                            <w:trPr>
                              <w:cantSplit/>
                              <w:trHeight w:val="2778"/>
                            </w:trPr>
                            <w:tc>
                              <w:tcPr>
                                <w:tcW w:w="2755" w:type="dxa"/>
                                <w:tcMar>
                                  <w:top w:w="34" w:type="dxa"/>
                                  <w:left w:w="0" w:type="dxa"/>
                                  <w:bottom w:w="28" w:type="dxa"/>
                                  <w:right w:w="0" w:type="dxa"/>
                                </w:tcMar>
                              </w:tcPr>
                              <w:p w14:paraId="5C827F2E" w14:textId="030072B1" w:rsidR="004B68AD" w:rsidRPr="00EC51B4" w:rsidRDefault="00701B58">
                                <w:pPr>
                                  <w:pStyle w:val="Kolofontekst"/>
                                </w:pPr>
                                <w:bookmarkStart w:id="2" w:name="OFF_DepartmentHIF"/>
                                <w:r w:rsidRPr="00EC51B4">
                                  <w:t>Pesticides and Biocides</w:t>
                                </w:r>
                              </w:p>
                              <w:p w14:paraId="1555FC14" w14:textId="4F3EE584" w:rsidR="004B68AD" w:rsidRPr="000F6601" w:rsidRDefault="004B68AD">
                                <w:pPr>
                                  <w:pStyle w:val="Kolofontekst"/>
                                  <w:rPr>
                                    <w:lang w:val="en-US"/>
                                  </w:rPr>
                                </w:pPr>
                                <w:bookmarkStart w:id="3" w:name="HIF_dossier_f2casenumber"/>
                                <w:bookmarkEnd w:id="2"/>
                                <w:r w:rsidRPr="000F6601">
                                  <w:rPr>
                                    <w:lang w:val="en-US"/>
                                  </w:rPr>
                                  <w:t xml:space="preserve">J.nr. </w:t>
                                </w:r>
                                <w:bookmarkStart w:id="4" w:name="dossier_f2casenumber"/>
                                <w:r w:rsidR="00AF4892" w:rsidRPr="00AF4892">
                                  <w:rPr>
                                    <w:color w:val="000000" w:themeColor="text1"/>
                                    <w:lang w:val="de-DE"/>
                                  </w:rPr>
                                  <w:t>2021 - 35931</w:t>
                                </w:r>
                                <w:bookmarkEnd w:id="4"/>
                                <w:r w:rsidRPr="00AF4892">
                                  <w:rPr>
                                    <w:color w:val="000000" w:themeColor="text1"/>
                                    <w:lang w:val="de-DE"/>
                                  </w:rPr>
                                  <w:t xml:space="preserve"> </w:t>
                                </w:r>
                              </w:p>
                              <w:p w14:paraId="1EB4421E" w14:textId="170C526E" w:rsidR="004B68AD" w:rsidRPr="00EC51B4" w:rsidRDefault="00EC51B4">
                                <w:pPr>
                                  <w:pStyle w:val="Kolofontekst"/>
                                </w:pPr>
                                <w:bookmarkStart w:id="5" w:name="LAN_Ref"/>
                                <w:bookmarkStart w:id="6" w:name="USR_InitialsHIF"/>
                                <w:bookmarkEnd w:id="3"/>
                                <w:r w:rsidRPr="00EC51B4">
                                  <w:t>Ref.</w:t>
                                </w:r>
                                <w:bookmarkEnd w:id="5"/>
                                <w:r w:rsidR="00AF4892" w:rsidRPr="00EC51B4" w:rsidDel="00AF4892">
                                  <w:t xml:space="preserve"> </w:t>
                                </w:r>
                                <w:r w:rsidR="00AF4892" w:rsidRPr="00EC51B4">
                                  <w:t>HESV</w:t>
                                </w:r>
                                <w:r w:rsidR="000F6601" w:rsidRPr="00EC51B4">
                                  <w:t>E</w:t>
                                </w:r>
                                <w:r w:rsidR="00AF4892" w:rsidRPr="00EC51B4">
                                  <w:t xml:space="preserve"> </w:t>
                                </w:r>
                                <w:r w:rsidR="00504FF2" w:rsidRPr="00EC51B4">
                                  <w:t>/</w:t>
                                </w:r>
                                <w:r w:rsidR="00701B58" w:rsidRPr="00EC51B4">
                                  <w:t>HEHUS</w:t>
                                </w:r>
                              </w:p>
                              <w:bookmarkEnd w:id="6"/>
                              <w:p w14:paraId="04592AE1" w14:textId="0BDDCE1A" w:rsidR="004B68AD" w:rsidRDefault="00C942CA" w:rsidP="00504FF2">
                                <w:pPr>
                                  <w:pStyle w:val="Kolofontekst"/>
                                </w:pPr>
                                <w:r>
                                  <w:t>24</w:t>
                                </w:r>
                                <w:r w:rsidR="00504FF2">
                                  <w:t xml:space="preserve"> November </w:t>
                                </w:r>
                                <w:r w:rsidR="00701B58">
                                  <w:t>2021</w:t>
                                </w:r>
                              </w:p>
                            </w:tc>
                          </w:tr>
                        </w:tbl>
                        <w:p w14:paraId="73BAFE6F" w14:textId="77777777"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9983"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BCEB322" w14:textId="77777777">
                      <w:trPr>
                        <w:cantSplit/>
                        <w:trHeight w:val="2778"/>
                      </w:trPr>
                      <w:tc>
                        <w:tcPr>
                          <w:tcW w:w="2755" w:type="dxa"/>
                          <w:tcMar>
                            <w:top w:w="34" w:type="dxa"/>
                            <w:left w:w="0" w:type="dxa"/>
                            <w:bottom w:w="28" w:type="dxa"/>
                            <w:right w:w="0" w:type="dxa"/>
                          </w:tcMar>
                        </w:tcPr>
                        <w:p w14:paraId="5C827F2E" w14:textId="030072B1" w:rsidR="004B68AD" w:rsidRPr="00EC51B4" w:rsidRDefault="00701B58">
                          <w:pPr>
                            <w:pStyle w:val="Kolofontekst"/>
                          </w:pPr>
                          <w:bookmarkStart w:id="7" w:name="OFF_DepartmentHIF"/>
                          <w:r w:rsidRPr="00EC51B4">
                            <w:t>Pesticides and Biocides</w:t>
                          </w:r>
                        </w:p>
                        <w:p w14:paraId="1555FC14" w14:textId="4F3EE584" w:rsidR="004B68AD" w:rsidRPr="000F6601" w:rsidRDefault="004B68AD">
                          <w:pPr>
                            <w:pStyle w:val="Kolofontekst"/>
                            <w:rPr>
                              <w:lang w:val="en-US"/>
                            </w:rPr>
                          </w:pPr>
                          <w:bookmarkStart w:id="8" w:name="HIF_dossier_f2casenumber"/>
                          <w:bookmarkEnd w:id="7"/>
                          <w:r w:rsidRPr="000F6601">
                            <w:rPr>
                              <w:lang w:val="en-US"/>
                            </w:rPr>
                            <w:t xml:space="preserve">J.nr. </w:t>
                          </w:r>
                          <w:bookmarkStart w:id="9" w:name="dossier_f2casenumber"/>
                          <w:r w:rsidR="00AF4892" w:rsidRPr="00AF4892">
                            <w:rPr>
                              <w:color w:val="000000" w:themeColor="text1"/>
                              <w:lang w:val="de-DE"/>
                            </w:rPr>
                            <w:t>2021 - 35931</w:t>
                          </w:r>
                          <w:bookmarkEnd w:id="9"/>
                          <w:r w:rsidRPr="00AF4892">
                            <w:rPr>
                              <w:color w:val="000000" w:themeColor="text1"/>
                              <w:lang w:val="de-DE"/>
                            </w:rPr>
                            <w:t xml:space="preserve"> </w:t>
                          </w:r>
                        </w:p>
                        <w:p w14:paraId="1EB4421E" w14:textId="170C526E" w:rsidR="004B68AD" w:rsidRPr="00EC51B4" w:rsidRDefault="00EC51B4">
                          <w:pPr>
                            <w:pStyle w:val="Kolofontekst"/>
                          </w:pPr>
                          <w:bookmarkStart w:id="10" w:name="LAN_Ref"/>
                          <w:bookmarkStart w:id="11" w:name="USR_InitialsHIF"/>
                          <w:bookmarkEnd w:id="8"/>
                          <w:r w:rsidRPr="00EC51B4">
                            <w:t>Ref.</w:t>
                          </w:r>
                          <w:bookmarkEnd w:id="10"/>
                          <w:r w:rsidR="00AF4892" w:rsidRPr="00EC51B4" w:rsidDel="00AF4892">
                            <w:t xml:space="preserve"> </w:t>
                          </w:r>
                          <w:r w:rsidR="00AF4892" w:rsidRPr="00EC51B4">
                            <w:t>HESV</w:t>
                          </w:r>
                          <w:r w:rsidR="000F6601" w:rsidRPr="00EC51B4">
                            <w:t>E</w:t>
                          </w:r>
                          <w:r w:rsidR="00AF4892" w:rsidRPr="00EC51B4">
                            <w:t xml:space="preserve"> </w:t>
                          </w:r>
                          <w:r w:rsidR="00504FF2" w:rsidRPr="00EC51B4">
                            <w:t>/</w:t>
                          </w:r>
                          <w:r w:rsidR="00701B58" w:rsidRPr="00EC51B4">
                            <w:t>HEHUS</w:t>
                          </w:r>
                        </w:p>
                        <w:bookmarkEnd w:id="11"/>
                        <w:p w14:paraId="04592AE1" w14:textId="0BDDCE1A" w:rsidR="004B68AD" w:rsidRDefault="00C942CA" w:rsidP="00504FF2">
                          <w:pPr>
                            <w:pStyle w:val="Kolofontekst"/>
                          </w:pPr>
                          <w:r>
                            <w:t>24</w:t>
                          </w:r>
                          <w:r w:rsidR="00504FF2">
                            <w:t xml:space="preserve"> November </w:t>
                          </w:r>
                          <w:r w:rsidR="00701B58">
                            <w:t>2021</w:t>
                          </w:r>
                        </w:p>
                      </w:tc>
                    </w:tr>
                  </w:tbl>
                  <w:p w14:paraId="73BAFE6F" w14:textId="77777777" w:rsidR="004B68AD" w:rsidRDefault="004B68AD" w:rsidP="004B68AD"/>
                </w:txbxContent>
              </v:textbox>
              <w10:wrap anchorx="margin" anchory="page"/>
              <w10:anchorlock/>
            </v:shape>
          </w:pict>
        </mc:Fallback>
      </mc:AlternateContent>
    </w:r>
  </w:p>
  <w:bookmarkEnd w:id="1"/>
  <w:p w14:paraId="59E93113" w14:textId="2BB8C8EC" w:rsidR="00A51DBA" w:rsidRDefault="00701B58" w:rsidP="00504FF2">
    <w:pPr>
      <w:pStyle w:val="Overskrift1"/>
      <w:rPr>
        <w:lang w:val="en-US"/>
      </w:rPr>
    </w:pPr>
    <w:r w:rsidRPr="00504FF2">
      <w:rPr>
        <w:lang w:val="en-US"/>
      </w:rPr>
      <w:t>Annex</w:t>
    </w:r>
    <w:r w:rsidR="00504FF2" w:rsidRPr="00504FF2">
      <w:rPr>
        <w:lang w:val="en-US"/>
      </w:rPr>
      <w:t xml:space="preserve"> 1</w:t>
    </w:r>
    <w:r w:rsidRPr="00504FF2">
      <w:rPr>
        <w:lang w:val="en-US"/>
      </w:rPr>
      <w:t xml:space="preserve"> </w:t>
    </w:r>
    <w:r w:rsidR="00504FF2" w:rsidRPr="00504FF2">
      <w:rPr>
        <w:lang w:val="en-US"/>
      </w:rPr>
      <w:t xml:space="preserve">- The Contracting authority’s </w:t>
    </w:r>
    <w:r w:rsidR="000F6601">
      <w:rPr>
        <w:lang w:val="en-US"/>
      </w:rPr>
      <w:br/>
    </w:r>
    <w:r w:rsidR="00504FF2" w:rsidRPr="00504FF2">
      <w:rPr>
        <w:lang w:val="en-US"/>
      </w:rPr>
      <w:t>description of the task</w:t>
    </w:r>
  </w:p>
  <w:p w14:paraId="0F57087D" w14:textId="2C58232A" w:rsidR="002B7216" w:rsidRPr="002B7216" w:rsidRDefault="002B7216" w:rsidP="002B7216">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1F076AD"/>
    <w:multiLevelType w:val="multilevel"/>
    <w:tmpl w:val="1122A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CB6D59"/>
    <w:multiLevelType w:val="hybridMultilevel"/>
    <w:tmpl w:val="58507176"/>
    <w:lvl w:ilvl="0" w:tplc="04060003">
      <w:start w:val="1"/>
      <w:numFmt w:val="bullet"/>
      <w:lvlText w:val="o"/>
      <w:lvlJc w:val="left"/>
      <w:pPr>
        <w:ind w:left="720" w:hanging="360"/>
      </w:pPr>
      <w:rPr>
        <w:rFonts w:ascii="Courier New" w:hAnsi="Courier New" w:cs="Courier New"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0163"/>
    <w:rsid w:val="0001457C"/>
    <w:rsid w:val="0001528D"/>
    <w:rsid w:val="000166A0"/>
    <w:rsid w:val="000242C1"/>
    <w:rsid w:val="00030051"/>
    <w:rsid w:val="00037E7E"/>
    <w:rsid w:val="00060BC5"/>
    <w:rsid w:val="000647F2"/>
    <w:rsid w:val="00070BA1"/>
    <w:rsid w:val="00073466"/>
    <w:rsid w:val="00074F1A"/>
    <w:rsid w:val="000758FD"/>
    <w:rsid w:val="00082404"/>
    <w:rsid w:val="000825EC"/>
    <w:rsid w:val="00086B6B"/>
    <w:rsid w:val="00090474"/>
    <w:rsid w:val="00096AA1"/>
    <w:rsid w:val="000A1C92"/>
    <w:rsid w:val="000A26F5"/>
    <w:rsid w:val="000A7219"/>
    <w:rsid w:val="000B175F"/>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0F6601"/>
    <w:rsid w:val="001062D0"/>
    <w:rsid w:val="00114DE6"/>
    <w:rsid w:val="001210A9"/>
    <w:rsid w:val="00133780"/>
    <w:rsid w:val="001354CC"/>
    <w:rsid w:val="0014150F"/>
    <w:rsid w:val="00144670"/>
    <w:rsid w:val="0014616C"/>
    <w:rsid w:val="00147799"/>
    <w:rsid w:val="00150899"/>
    <w:rsid w:val="00152CB8"/>
    <w:rsid w:val="00156908"/>
    <w:rsid w:val="00160721"/>
    <w:rsid w:val="0017233D"/>
    <w:rsid w:val="001743E7"/>
    <w:rsid w:val="001A0525"/>
    <w:rsid w:val="001A06B8"/>
    <w:rsid w:val="001A4CEE"/>
    <w:rsid w:val="001A4D56"/>
    <w:rsid w:val="001A58BF"/>
    <w:rsid w:val="001A6CB5"/>
    <w:rsid w:val="001A7E4B"/>
    <w:rsid w:val="001B3F10"/>
    <w:rsid w:val="001B72A9"/>
    <w:rsid w:val="001C2544"/>
    <w:rsid w:val="001C417D"/>
    <w:rsid w:val="001C4328"/>
    <w:rsid w:val="001C7630"/>
    <w:rsid w:val="001D1196"/>
    <w:rsid w:val="001D19D8"/>
    <w:rsid w:val="001D3072"/>
    <w:rsid w:val="001E38EF"/>
    <w:rsid w:val="001E7F16"/>
    <w:rsid w:val="001F3A47"/>
    <w:rsid w:val="001F763E"/>
    <w:rsid w:val="00200B86"/>
    <w:rsid w:val="0020134B"/>
    <w:rsid w:val="0020402C"/>
    <w:rsid w:val="002044E3"/>
    <w:rsid w:val="00204BF4"/>
    <w:rsid w:val="00207F46"/>
    <w:rsid w:val="00211AC9"/>
    <w:rsid w:val="00212497"/>
    <w:rsid w:val="00215A5F"/>
    <w:rsid w:val="002239C6"/>
    <w:rsid w:val="00225534"/>
    <w:rsid w:val="00235C1F"/>
    <w:rsid w:val="002366E2"/>
    <w:rsid w:val="002524DB"/>
    <w:rsid w:val="002629A8"/>
    <w:rsid w:val="002639DB"/>
    <w:rsid w:val="00264240"/>
    <w:rsid w:val="002654F9"/>
    <w:rsid w:val="00267F76"/>
    <w:rsid w:val="0027546B"/>
    <w:rsid w:val="00283D52"/>
    <w:rsid w:val="00284176"/>
    <w:rsid w:val="00293240"/>
    <w:rsid w:val="002933E6"/>
    <w:rsid w:val="0029629D"/>
    <w:rsid w:val="002A29B1"/>
    <w:rsid w:val="002A7860"/>
    <w:rsid w:val="002B7216"/>
    <w:rsid w:val="002C042D"/>
    <w:rsid w:val="002C265A"/>
    <w:rsid w:val="002C4595"/>
    <w:rsid w:val="002C4D00"/>
    <w:rsid w:val="002D00C9"/>
    <w:rsid w:val="002D268E"/>
    <w:rsid w:val="002D7F0F"/>
    <w:rsid w:val="002E2B92"/>
    <w:rsid w:val="003001A2"/>
    <w:rsid w:val="00310C3C"/>
    <w:rsid w:val="00313642"/>
    <w:rsid w:val="00315AC9"/>
    <w:rsid w:val="00320951"/>
    <w:rsid w:val="003209AA"/>
    <w:rsid w:val="00322BBE"/>
    <w:rsid w:val="00323669"/>
    <w:rsid w:val="00326ED5"/>
    <w:rsid w:val="00331970"/>
    <w:rsid w:val="00334562"/>
    <w:rsid w:val="00335AFB"/>
    <w:rsid w:val="00343A37"/>
    <w:rsid w:val="00345FA9"/>
    <w:rsid w:val="003465B4"/>
    <w:rsid w:val="00350582"/>
    <w:rsid w:val="00353FAA"/>
    <w:rsid w:val="00354EE3"/>
    <w:rsid w:val="003558D9"/>
    <w:rsid w:val="00362EAC"/>
    <w:rsid w:val="003636BF"/>
    <w:rsid w:val="00365BC4"/>
    <w:rsid w:val="00366033"/>
    <w:rsid w:val="003819FF"/>
    <w:rsid w:val="00385C06"/>
    <w:rsid w:val="003864CC"/>
    <w:rsid w:val="00386D0C"/>
    <w:rsid w:val="003966D8"/>
    <w:rsid w:val="00397271"/>
    <w:rsid w:val="0039787C"/>
    <w:rsid w:val="003A3350"/>
    <w:rsid w:val="003A3369"/>
    <w:rsid w:val="003A44A9"/>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393B"/>
    <w:rsid w:val="004561B3"/>
    <w:rsid w:val="00457882"/>
    <w:rsid w:val="00460B5A"/>
    <w:rsid w:val="0046538F"/>
    <w:rsid w:val="0046600E"/>
    <w:rsid w:val="00467E79"/>
    <w:rsid w:val="00476722"/>
    <w:rsid w:val="00481EEB"/>
    <w:rsid w:val="0048414C"/>
    <w:rsid w:val="004843A0"/>
    <w:rsid w:val="0048667B"/>
    <w:rsid w:val="00495993"/>
    <w:rsid w:val="004A3AAA"/>
    <w:rsid w:val="004A4315"/>
    <w:rsid w:val="004B5995"/>
    <w:rsid w:val="004B5AC3"/>
    <w:rsid w:val="004B68AD"/>
    <w:rsid w:val="004B6A8B"/>
    <w:rsid w:val="004C0742"/>
    <w:rsid w:val="004C237E"/>
    <w:rsid w:val="004C491E"/>
    <w:rsid w:val="004C63FE"/>
    <w:rsid w:val="004D23C9"/>
    <w:rsid w:val="004D6645"/>
    <w:rsid w:val="004E23CC"/>
    <w:rsid w:val="004E33EF"/>
    <w:rsid w:val="004E562B"/>
    <w:rsid w:val="004E642A"/>
    <w:rsid w:val="004E7C82"/>
    <w:rsid w:val="004F7C92"/>
    <w:rsid w:val="005009DC"/>
    <w:rsid w:val="00500EFC"/>
    <w:rsid w:val="00501E2E"/>
    <w:rsid w:val="00504FF2"/>
    <w:rsid w:val="005116EB"/>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105D"/>
    <w:rsid w:val="005C51A1"/>
    <w:rsid w:val="005D2B26"/>
    <w:rsid w:val="005D398C"/>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AD2"/>
    <w:rsid w:val="00696E85"/>
    <w:rsid w:val="006A18C5"/>
    <w:rsid w:val="006D09A7"/>
    <w:rsid w:val="006D2CA7"/>
    <w:rsid w:val="006E7F1D"/>
    <w:rsid w:val="006F3EB3"/>
    <w:rsid w:val="006F4577"/>
    <w:rsid w:val="006F4DCD"/>
    <w:rsid w:val="00701B58"/>
    <w:rsid w:val="00702FF2"/>
    <w:rsid w:val="00703B66"/>
    <w:rsid w:val="00705800"/>
    <w:rsid w:val="00705EAB"/>
    <w:rsid w:val="00723455"/>
    <w:rsid w:val="00724762"/>
    <w:rsid w:val="00724D6D"/>
    <w:rsid w:val="0073474C"/>
    <w:rsid w:val="0073754C"/>
    <w:rsid w:val="00742CB6"/>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11ACF"/>
    <w:rsid w:val="00821133"/>
    <w:rsid w:val="00821CFF"/>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B703B"/>
    <w:rsid w:val="008C5F4A"/>
    <w:rsid w:val="008E3990"/>
    <w:rsid w:val="008F272E"/>
    <w:rsid w:val="008F6B2B"/>
    <w:rsid w:val="00905C37"/>
    <w:rsid w:val="00906916"/>
    <w:rsid w:val="0092514B"/>
    <w:rsid w:val="009264AA"/>
    <w:rsid w:val="009331CE"/>
    <w:rsid w:val="009354A9"/>
    <w:rsid w:val="00944EE8"/>
    <w:rsid w:val="00945B8A"/>
    <w:rsid w:val="009461F0"/>
    <w:rsid w:val="009601F5"/>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2B6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E626F"/>
    <w:rsid w:val="00AF19D1"/>
    <w:rsid w:val="00AF4892"/>
    <w:rsid w:val="00AF5AF6"/>
    <w:rsid w:val="00B13BB6"/>
    <w:rsid w:val="00B2565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7059"/>
    <w:rsid w:val="00BA7643"/>
    <w:rsid w:val="00BA7C98"/>
    <w:rsid w:val="00BB40C8"/>
    <w:rsid w:val="00BB6985"/>
    <w:rsid w:val="00BC1C77"/>
    <w:rsid w:val="00BC6602"/>
    <w:rsid w:val="00BD3A32"/>
    <w:rsid w:val="00BD49EA"/>
    <w:rsid w:val="00BD787B"/>
    <w:rsid w:val="00BE0CE4"/>
    <w:rsid w:val="00BE2EBC"/>
    <w:rsid w:val="00BE510A"/>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2CA"/>
    <w:rsid w:val="00CA543F"/>
    <w:rsid w:val="00CA5E7C"/>
    <w:rsid w:val="00CA6429"/>
    <w:rsid w:val="00CA6ADF"/>
    <w:rsid w:val="00CB187A"/>
    <w:rsid w:val="00CB5C14"/>
    <w:rsid w:val="00CC12A8"/>
    <w:rsid w:val="00CC51AE"/>
    <w:rsid w:val="00CC6892"/>
    <w:rsid w:val="00CC77A5"/>
    <w:rsid w:val="00CD31FE"/>
    <w:rsid w:val="00CD4F1D"/>
    <w:rsid w:val="00CE1EC6"/>
    <w:rsid w:val="00CE5201"/>
    <w:rsid w:val="00CF1627"/>
    <w:rsid w:val="00CF2263"/>
    <w:rsid w:val="00CF760D"/>
    <w:rsid w:val="00D008ED"/>
    <w:rsid w:val="00D01984"/>
    <w:rsid w:val="00D01EDA"/>
    <w:rsid w:val="00D16472"/>
    <w:rsid w:val="00D321C9"/>
    <w:rsid w:val="00D37FC2"/>
    <w:rsid w:val="00D43DB0"/>
    <w:rsid w:val="00D53F46"/>
    <w:rsid w:val="00D570C5"/>
    <w:rsid w:val="00D922CF"/>
    <w:rsid w:val="00D951B4"/>
    <w:rsid w:val="00DA32B3"/>
    <w:rsid w:val="00DA6734"/>
    <w:rsid w:val="00DB56B3"/>
    <w:rsid w:val="00DE19B0"/>
    <w:rsid w:val="00DE24BE"/>
    <w:rsid w:val="00DE5B21"/>
    <w:rsid w:val="00DE7479"/>
    <w:rsid w:val="00DE7D78"/>
    <w:rsid w:val="00DF128B"/>
    <w:rsid w:val="00DF2F94"/>
    <w:rsid w:val="00E11688"/>
    <w:rsid w:val="00E26EAA"/>
    <w:rsid w:val="00E27CC3"/>
    <w:rsid w:val="00E30FCA"/>
    <w:rsid w:val="00E36F97"/>
    <w:rsid w:val="00E41CB3"/>
    <w:rsid w:val="00E42057"/>
    <w:rsid w:val="00E44C4F"/>
    <w:rsid w:val="00E46DA0"/>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1B4"/>
    <w:rsid w:val="00EC5E51"/>
    <w:rsid w:val="00EC76B0"/>
    <w:rsid w:val="00ED48AE"/>
    <w:rsid w:val="00EE3196"/>
    <w:rsid w:val="00EE65A7"/>
    <w:rsid w:val="00EF48EC"/>
    <w:rsid w:val="00EF6016"/>
    <w:rsid w:val="00F05E03"/>
    <w:rsid w:val="00F2061A"/>
    <w:rsid w:val="00F20CAB"/>
    <w:rsid w:val="00F30057"/>
    <w:rsid w:val="00F3052B"/>
    <w:rsid w:val="00F31EFD"/>
    <w:rsid w:val="00F34750"/>
    <w:rsid w:val="00F44CF6"/>
    <w:rsid w:val="00F46114"/>
    <w:rsid w:val="00F47B3A"/>
    <w:rsid w:val="00F602C8"/>
    <w:rsid w:val="00F62595"/>
    <w:rsid w:val="00F65573"/>
    <w:rsid w:val="00F7168A"/>
    <w:rsid w:val="00F71C13"/>
    <w:rsid w:val="00F77228"/>
    <w:rsid w:val="00F81E2E"/>
    <w:rsid w:val="00F90567"/>
    <w:rsid w:val="00F908EE"/>
    <w:rsid w:val="00F91352"/>
    <w:rsid w:val="00F922ED"/>
    <w:rsid w:val="00FB58DE"/>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279E9"/>
  <w15:docId w15:val="{0EB0E6A4-00C9-4675-A8E4-38C7A4E1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rPr>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aliases w:val="Bullet (use only this bullet),Margentekst,MargentekstCxSpLast"/>
    <w:basedOn w:val="Normal"/>
    <w:link w:val="ListeafsnitTegn"/>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Default">
    <w:name w:val="Default"/>
    <w:rsid w:val="00504FF2"/>
    <w:pPr>
      <w:autoSpaceDE w:val="0"/>
      <w:autoSpaceDN w:val="0"/>
      <w:adjustRightInd w:val="0"/>
      <w:spacing w:line="240" w:lineRule="auto"/>
    </w:pPr>
    <w:rPr>
      <w:rFonts w:ascii="Times New Roman" w:hAnsi="Times New Roman"/>
      <w:color w:val="000000"/>
      <w:sz w:val="24"/>
      <w:szCs w:val="24"/>
    </w:rPr>
  </w:style>
  <w:style w:type="character" w:customStyle="1" w:styleId="ListeafsnitTegn">
    <w:name w:val="Listeafsnit Tegn"/>
    <w:aliases w:val="Bullet (use only this bullet) Tegn,Margentekst Tegn,MargentekstCxSpLast Tegn"/>
    <w:link w:val="Listeafsnit"/>
    <w:uiPriority w:val="34"/>
    <w:locked/>
    <w:rsid w:val="00DE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CBFC-B595-4EDC-A791-4AAD1F6D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1382</Words>
  <Characters>7396</Characters>
  <Application>Microsoft Office Word</Application>
  <DocSecurity>0</DocSecurity>
  <Lines>129</Lines>
  <Paragraphs>84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Miljø- og Fødevareministeriet</dc:creator>
  <cp:keywords/>
  <dc:description/>
  <cp:lastModifiedBy>Henrik Svenstrup</cp:lastModifiedBy>
  <cp:revision>24</cp:revision>
  <cp:lastPrinted>2021-11-19T13:43:00Z</cp:lastPrinted>
  <dcterms:created xsi:type="dcterms:W3CDTF">2020-05-06T12:20:00Z</dcterms:created>
  <dcterms:modified xsi:type="dcterms:W3CDTF">2021-11-25T12:55:00Z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Helle</vt:lpwstr>
  </property>
  <property fmtid="{D5CDD505-2E9C-101B-9397-08002B2CF9AE}" pid="14" name="SD_CtlText_Generelt_CaseNoF2">
    <vt:lpwstr>2021 - 35931</vt:lpwstr>
  </property>
  <property fmtid="{D5CDD505-2E9C-101B-9397-08002B2CF9AE}" pid="15" name="SD_UserprofileName">
    <vt:lpwstr>UK Helle</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Environmental Protection Agency</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Pesticides and Biocides</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Tolderlundsvej 5</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Tolderlundsvej 5</vt:lpwstr>
  </property>
  <property fmtid="{D5CDD505-2E9C-101B-9397-08002B2CF9AE}" pid="31" name="SD_Office_OFF_AddressD">
    <vt:lpwstr>5000</vt:lpwstr>
  </property>
  <property fmtid="{D5CDD505-2E9C-101B-9397-08002B2CF9AE}" pid="32" name="SD_Office_OFF_City">
    <vt:lpwstr>Odense C Denmark</vt:lpwstr>
  </property>
  <property fmtid="{D5CDD505-2E9C-101B-9397-08002B2CF9AE}" pid="33" name="SD_Office_OFF_City_EN">
    <vt:lpwstr>Odense C Denmark</vt:lpwstr>
  </property>
  <property fmtid="{D5CDD505-2E9C-101B-9397-08002B2CF9AE}" pid="34" name="SD_Office_OFF_Phone">
    <vt:lpwstr>+45 72 54 40 00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USR_Name">
    <vt:lpwstr>Helle Husum</vt:lpwstr>
  </property>
  <property fmtid="{D5CDD505-2E9C-101B-9397-08002B2CF9AE}" pid="45" name="USR_Initials">
    <vt:lpwstr>HEHUS</vt:lpwstr>
  </property>
  <property fmtid="{D5CDD505-2E9C-101B-9397-08002B2CF9AE}" pid="46" name="USR_Title">
    <vt:lpwstr>Special Advisor</vt:lpwstr>
  </property>
  <property fmtid="{D5CDD505-2E9C-101B-9397-08002B2CF9AE}" pid="47" name="USR_DirectPhone">
    <vt:lpwstr>+45 23 63 73 04</vt:lpwstr>
  </property>
  <property fmtid="{D5CDD505-2E9C-101B-9397-08002B2CF9AE}" pid="48" name="USR_Mobile">
    <vt:lpwstr>+45 23 63 73 04</vt:lpwstr>
  </property>
  <property fmtid="{D5CDD505-2E9C-101B-9397-08002B2CF9AE}" pid="49" name="USR_Email">
    <vt:lpwstr>hehus@mst.dk</vt:lpwstr>
  </property>
  <property fmtid="{D5CDD505-2E9C-101B-9397-08002B2CF9AE}" pid="50" name="DocumentInfoFinished">
    <vt:lpwstr>True</vt:lpwstr>
  </property>
  <property fmtid="{D5CDD505-2E9C-101B-9397-08002B2CF9AE}" pid="51" name="sdDocumentDate">
    <vt:lpwstr>44522</vt:lpwstr>
  </property>
  <property fmtid="{D5CDD505-2E9C-101B-9397-08002B2CF9AE}" pid="52" name="sdDocumentDateFormat">
    <vt:lpwstr>da-DK:'Den' d. MMMM yyyy</vt:lpwstr>
  </property>
  <property fmtid="{D5CDD505-2E9C-101B-9397-08002B2CF9AE}" pid="53" name="SD_DocumentLanguage">
    <vt:lpwstr>en-GB</vt:lpwstr>
  </property>
  <property fmtid="{D5CDD505-2E9C-101B-9397-08002B2CF9AE}" pid="54" name="LastCompletedArtworkDefinition">
    <vt:lpwstr>MFVM</vt:lpwstr>
  </property>
  <property fmtid="{D5CDD505-2E9C-101B-9397-08002B2CF9AE}" pid="55" name="SD_IntegrationInfoAdded">
    <vt:bool>true</vt:bool>
  </property>
</Properties>
</file>