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45BE4" w14:textId="77777777" w:rsidR="000A71C9" w:rsidRPr="000A71C9" w:rsidRDefault="000A71C9" w:rsidP="000A71C9">
      <w:pPr>
        <w:pStyle w:val="Titel"/>
        <w:rPr>
          <w:rFonts w:ascii="Cambria" w:hAnsi="Cambria"/>
          <w:sz w:val="48"/>
        </w:rPr>
      </w:pPr>
      <w:bookmarkStart w:id="0" w:name="_Ref3906420"/>
      <w:r w:rsidRPr="000A71C9">
        <w:rPr>
          <w:rFonts w:ascii="Cambria" w:hAnsi="Cambria"/>
          <w:sz w:val="48"/>
        </w:rPr>
        <w:t>KRAVSPECIFIKATION:</w:t>
      </w:r>
    </w:p>
    <w:p w14:paraId="62D621E7" w14:textId="473E7539" w:rsidR="000A71C9" w:rsidRPr="000A71C9" w:rsidRDefault="00CD03B9" w:rsidP="000A71C9">
      <w:pPr>
        <w:pStyle w:val="Overskrift1"/>
        <w:numPr>
          <w:ilvl w:val="0"/>
          <w:numId w:val="0"/>
        </w:numPr>
        <w:rPr>
          <w:rFonts w:ascii="Cambria" w:hAnsi="Cambria"/>
        </w:rPr>
      </w:pPr>
      <w:r w:rsidRPr="00CD03B9">
        <w:rPr>
          <w:rFonts w:ascii="Cambria" w:hAnsi="Cambria"/>
          <w:b w:val="0"/>
          <w:bCs w:val="0"/>
          <w:spacing w:val="-10"/>
          <w:kern w:val="28"/>
          <w:sz w:val="36"/>
          <w:szCs w:val="36"/>
        </w:rPr>
        <w:t xml:space="preserve">Renholds - og Omkostningsanalyse jf. engangsplastikdirektivets oprydningsansvar </w:t>
      </w:r>
    </w:p>
    <w:p w14:paraId="4BDF804C" w14:textId="77777777" w:rsidR="000A71C9" w:rsidRPr="00881C00" w:rsidRDefault="000A71C9" w:rsidP="000A71C9">
      <w:pPr>
        <w:pStyle w:val="Overskrift1"/>
      </w:pPr>
      <w:r w:rsidRPr="00881C00">
        <w:t>OPGAVEBESKRIVELSE</w:t>
      </w:r>
      <w:bookmarkEnd w:id="0"/>
    </w:p>
    <w:p w14:paraId="5849B43B" w14:textId="77777777" w:rsidR="000A71C9" w:rsidRPr="00881C00" w:rsidRDefault="000A71C9" w:rsidP="000A71C9">
      <w:pPr>
        <w:pStyle w:val="Overskrift2"/>
        <w:rPr>
          <w:b w:val="0"/>
        </w:rPr>
      </w:pPr>
      <w:r w:rsidRPr="00881C00">
        <w:t>Baggrund for opgaven</w:t>
      </w:r>
    </w:p>
    <w:p w14:paraId="1E94265C" w14:textId="231D5060" w:rsidR="000A71C9" w:rsidRDefault="00AC7763" w:rsidP="003F6F3B">
      <w:bookmarkStart w:id="1" w:name="_Ref3911200"/>
      <w:r>
        <w:t>Engangsplastikdirektivet</w:t>
      </w:r>
      <w:r w:rsidR="000A71C9">
        <w:rPr>
          <w:rStyle w:val="Fodnotehenvisning"/>
        </w:rPr>
        <w:footnoteReference w:id="1"/>
      </w:r>
      <w:r w:rsidR="003F6F3B">
        <w:t xml:space="preserve"> (Single-Us</w:t>
      </w:r>
      <w:r w:rsidR="00707FD9">
        <w:t xml:space="preserve">e Plastics Directive, herefter </w:t>
      </w:r>
      <w:r w:rsidR="000A71C9">
        <w:t xml:space="preserve">(SUPD) </w:t>
      </w:r>
      <w:r>
        <w:t xml:space="preserve">trådte </w:t>
      </w:r>
      <w:r w:rsidR="000A71C9" w:rsidRPr="000777A7">
        <w:t>i</w:t>
      </w:r>
      <w:r>
        <w:t xml:space="preserve"> kraft</w:t>
      </w:r>
      <w:r w:rsidR="000A71C9" w:rsidRPr="000777A7">
        <w:t xml:space="preserve"> den 3. juli 2019</w:t>
      </w:r>
      <w:r>
        <w:t>.</w:t>
      </w:r>
      <w:r w:rsidR="000A71C9" w:rsidRPr="000777A7">
        <w:t xml:space="preserve"> I direktivet a</w:t>
      </w:r>
      <w:r w:rsidR="000A71C9">
        <w:t>nvendes forskellige virkemidler fra produkttype til produkttype, som er omfattet,</w:t>
      </w:r>
      <w:r w:rsidR="000A71C9" w:rsidRPr="000777A7">
        <w:t xml:space="preserve"> og </w:t>
      </w:r>
      <w:r w:rsidR="000A71C9">
        <w:t>direktiv</w:t>
      </w:r>
      <w:r w:rsidR="000A71C9" w:rsidRPr="000777A7">
        <w:t>kravene træder løbende i kraft</w:t>
      </w:r>
      <w:r w:rsidR="0040410B">
        <w:t xml:space="preserve"> frem til 1. januar 2025</w:t>
      </w:r>
      <w:r w:rsidR="000A71C9">
        <w:t>. Direktivet spænder bredt ift. berørte sektorer og berørte brancher - f</w:t>
      </w:r>
      <w:r w:rsidR="000A71C9" w:rsidRPr="000777A7">
        <w:t xml:space="preserve">ra convenience- og take-away-branchen til </w:t>
      </w:r>
      <w:r w:rsidR="000A71C9">
        <w:t>fiskerisektoren</w:t>
      </w:r>
      <w:r w:rsidR="008F229C" w:rsidRPr="008F229C">
        <w:t xml:space="preserve"> </w:t>
      </w:r>
      <w:r w:rsidR="008F229C">
        <w:t>og</w:t>
      </w:r>
      <w:r w:rsidR="008F229C" w:rsidRPr="000777A7">
        <w:t xml:space="preserve"> toba</w:t>
      </w:r>
      <w:r w:rsidR="008F229C">
        <w:t>ksindustrien</w:t>
      </w:r>
      <w:r w:rsidR="000A71C9" w:rsidRPr="000777A7">
        <w:t xml:space="preserve">. </w:t>
      </w:r>
    </w:p>
    <w:p w14:paraId="3490529E" w14:textId="6AC5C89A" w:rsidR="000A71C9" w:rsidRPr="009E3365" w:rsidRDefault="000A71C9" w:rsidP="000A71C9">
      <w:r>
        <w:t>Et af</w:t>
      </w:r>
      <w:r w:rsidRPr="000777A7">
        <w:t xml:space="preserve"> virkemidler</w:t>
      </w:r>
      <w:r>
        <w:t>ne</w:t>
      </w:r>
      <w:r w:rsidRPr="000777A7">
        <w:t xml:space="preserve"> </w:t>
      </w:r>
      <w:r>
        <w:t xml:space="preserve">i direktivet </w:t>
      </w:r>
      <w:r w:rsidRPr="000777A7">
        <w:t>er udvidet producentansvar</w:t>
      </w:r>
      <w:r w:rsidR="007B69C1">
        <w:t xml:space="preserve"> på udvalgte produkttyper,</w:t>
      </w:r>
      <w:r w:rsidRPr="000777A7">
        <w:t xml:space="preserve"> </w:t>
      </w:r>
      <w:r w:rsidR="0040410B">
        <w:t>her</w:t>
      </w:r>
      <w:r w:rsidR="007B69C1">
        <w:t>under</w:t>
      </w:r>
      <w:r>
        <w:t xml:space="preserve"> et krav om </w:t>
      </w:r>
      <w:r w:rsidRPr="009E3365">
        <w:t>oprydningsansvar</w:t>
      </w:r>
      <w:r w:rsidR="007B69C1">
        <w:t>, hvor</w:t>
      </w:r>
      <w:r w:rsidR="00AC7763" w:rsidRPr="009E3365">
        <w:t xml:space="preserve"> producenter af de u</w:t>
      </w:r>
      <w:r w:rsidR="007B69C1">
        <w:t>dvalgte produkttyper skal kompenserer</w:t>
      </w:r>
      <w:r w:rsidR="00AC7763" w:rsidRPr="009E3365">
        <w:t xml:space="preserve"> kommunerne og staten, for</w:t>
      </w:r>
      <w:r w:rsidR="007B69C1">
        <w:t xml:space="preserve"> at varetage opgaven med renhold</w:t>
      </w:r>
      <w:r w:rsidR="00AC7763" w:rsidRPr="009E3365">
        <w:t>.</w:t>
      </w:r>
      <w:r w:rsidR="007B69C1">
        <w:t xml:space="preserve"> </w:t>
      </w:r>
      <w:r w:rsidR="00AC7763" w:rsidRPr="009E3365">
        <w:t xml:space="preserve"> </w:t>
      </w:r>
      <w:r w:rsidRPr="009E3365">
        <w:t xml:space="preserve"> </w:t>
      </w:r>
    </w:p>
    <w:p w14:paraId="1FBE3DE9" w14:textId="0981C580" w:rsidR="000A71C9" w:rsidRDefault="000A71C9" w:rsidP="000A71C9">
      <w:r w:rsidRPr="000777A7">
        <w:t xml:space="preserve">Denne analyse skal bidrage til at </w:t>
      </w:r>
      <w:r w:rsidR="00707FD9">
        <w:t>etablere</w:t>
      </w:r>
      <w:r w:rsidR="00E713D8">
        <w:t xml:space="preserve"> en opgørelse over</w:t>
      </w:r>
      <w:r w:rsidR="000642B7">
        <w:t xml:space="preserve"> de reelle henkastede mængder og</w:t>
      </w:r>
      <w:r w:rsidRPr="000777A7">
        <w:t xml:space="preserve"> </w:t>
      </w:r>
      <w:r w:rsidR="009E3365">
        <w:t>omkostningerne</w:t>
      </w:r>
      <w:r w:rsidR="000642B7">
        <w:t xml:space="preserve"> til renhold hos kommuner og stat. </w:t>
      </w:r>
    </w:p>
    <w:p w14:paraId="6059C432" w14:textId="77777777" w:rsidR="000A71C9" w:rsidRPr="00941DEE" w:rsidRDefault="000A71C9" w:rsidP="000A71C9">
      <w:pPr>
        <w:pStyle w:val="Overskrift2"/>
        <w:rPr>
          <w:b w:val="0"/>
        </w:rPr>
      </w:pPr>
      <w:r w:rsidRPr="00941DEE">
        <w:t xml:space="preserve">Opgavens </w:t>
      </w:r>
      <w:r>
        <w:t>formål</w:t>
      </w:r>
    </w:p>
    <w:p w14:paraId="6EC8A6FA" w14:textId="166134F8" w:rsidR="000A71C9" w:rsidRDefault="00260A5E" w:rsidP="000A71C9">
      <w:r w:rsidRPr="009E3365">
        <w:t xml:space="preserve">Fra tidligere rapport om </w:t>
      </w:r>
      <w:r w:rsidR="0081555A" w:rsidRPr="009E3365">
        <w:t xml:space="preserve">kortlægning af omkostninger ved </w:t>
      </w:r>
      <w:r w:rsidRPr="009E3365">
        <w:t>SUPD</w:t>
      </w:r>
      <w:r w:rsidRPr="009E3365">
        <w:rPr>
          <w:rStyle w:val="Fodnotehenvisning"/>
        </w:rPr>
        <w:footnoteReference w:id="2"/>
      </w:r>
      <w:r w:rsidRPr="009E3365">
        <w:t xml:space="preserve"> var forventningen</w:t>
      </w:r>
      <w:r w:rsidR="000A71C9" w:rsidRPr="009E3365">
        <w:t>, at de erhvervsøkonomiske konsekvenser ved implementering af engangsplastikdirektivets producentansvar og oprydningsansvar</w:t>
      </w:r>
      <w:r w:rsidR="000A71C9" w:rsidRPr="009E3365">
        <w:rPr>
          <w:rStyle w:val="Fodnotehenvisning"/>
        </w:rPr>
        <w:footnoteReference w:id="3"/>
      </w:r>
      <w:r w:rsidR="000A71C9" w:rsidRPr="009E3365">
        <w:t xml:space="preserve"> vil</w:t>
      </w:r>
      <w:r w:rsidR="0081555A" w:rsidRPr="009E3365">
        <w:t>le</w:t>
      </w:r>
      <w:r w:rsidR="000A71C9" w:rsidRPr="009E3365">
        <w:t xml:space="preserve"> være betydelige. Kommunerne står for</w:t>
      </w:r>
      <w:r w:rsidR="00915085">
        <w:t xml:space="preserve"> en stor del af</w:t>
      </w:r>
      <w:r w:rsidR="00615EBD">
        <w:t xml:space="preserve"> opgaverne med</w:t>
      </w:r>
      <w:r w:rsidR="00915085">
        <w:t xml:space="preserve"> renhold</w:t>
      </w:r>
      <w:r w:rsidR="000A71C9" w:rsidRPr="009E3365">
        <w:t xml:space="preserve"> i dag</w:t>
      </w:r>
      <w:r w:rsidR="00615EBD">
        <w:t>, dvs.</w:t>
      </w:r>
      <w:r w:rsidR="00915085">
        <w:t xml:space="preserve"> tømning af offentlige skraldespande og opsamling af henkastet affald</w:t>
      </w:r>
      <w:r w:rsidR="000A71C9" w:rsidRPr="009E3365">
        <w:t xml:space="preserve">. Disse aktiviteter er ofte en del af andre aktiviteter </w:t>
      </w:r>
      <w:r w:rsidR="000A71C9">
        <w:t>i kommunen f.eks.</w:t>
      </w:r>
      <w:r w:rsidR="000A71C9" w:rsidRPr="000777A7">
        <w:t xml:space="preserve"> rengøring af </w:t>
      </w:r>
      <w:r w:rsidR="000A71C9" w:rsidRPr="000777A7">
        <w:lastRenderedPageBreak/>
        <w:t xml:space="preserve">offentlige toiletter, fjernelse af </w:t>
      </w:r>
      <w:r w:rsidR="000A71C9">
        <w:t>graffiti og ukrudt bekæmpelse</w:t>
      </w:r>
      <w:r w:rsidR="000A71C9" w:rsidRPr="000777A7">
        <w:t xml:space="preserve">. </w:t>
      </w:r>
      <w:r w:rsidR="00615EBD">
        <w:t>Omkostningerne til renhold</w:t>
      </w:r>
      <w:r w:rsidR="000A71C9" w:rsidRPr="000777A7">
        <w:t xml:space="preserve"> kan derfor umiddelbart ikke identificeres</w:t>
      </w:r>
      <w:r w:rsidR="00D103D5">
        <w:t xml:space="preserve"> ud fra</w:t>
      </w:r>
      <w:r w:rsidR="000A71C9">
        <w:t xml:space="preserve"> kommunernes budgetter</w:t>
      </w:r>
      <w:r w:rsidR="000A71C9" w:rsidRPr="000777A7">
        <w:t>.</w:t>
      </w:r>
      <w:r w:rsidR="00645E68">
        <w:t xml:space="preserve"> </w:t>
      </w:r>
      <w:r w:rsidR="000A71C9">
        <w:t>Disse problemstillinger skal denne analyse se nærmere på.</w:t>
      </w:r>
    </w:p>
    <w:p w14:paraId="22BAA57B" w14:textId="3DC8F5BC" w:rsidR="000A71C9" w:rsidRPr="003223A6" w:rsidRDefault="000A71C9" w:rsidP="000A71C9">
      <w:pPr>
        <w:rPr>
          <w:color w:val="2E74B5" w:themeColor="accent1" w:themeShade="BF"/>
        </w:rPr>
      </w:pPr>
      <w:r w:rsidRPr="00FC68BD">
        <w:t xml:space="preserve">Opgaven har overordnet til formål at foretage en </w:t>
      </w:r>
      <w:r w:rsidR="00A27F43">
        <w:t>renholds</w:t>
      </w:r>
      <w:bookmarkStart w:id="2" w:name="_GoBack"/>
      <w:bookmarkEnd w:id="2"/>
      <w:r w:rsidR="00165DFE">
        <w:t>- og omkostnings</w:t>
      </w:r>
      <w:r w:rsidRPr="00FC68BD">
        <w:t xml:space="preserve">analyse, som skal bidrage til implementeringsarbejdet med engangsplastikdirektivet. </w:t>
      </w:r>
      <w:r w:rsidRPr="009E3365">
        <w:t xml:space="preserve">Konkret skal resultaterne indarbejdes i </w:t>
      </w:r>
      <w:r w:rsidR="00165DFE">
        <w:t>den fremtidige gebyrberegning</w:t>
      </w:r>
      <w:r w:rsidR="005A3F44">
        <w:t xml:space="preserve"> vedrørende</w:t>
      </w:r>
      <w:r w:rsidRPr="009E3365">
        <w:t xml:space="preserve"> </w:t>
      </w:r>
      <w:r w:rsidR="00A536A1" w:rsidRPr="003B0278">
        <w:t xml:space="preserve">producentansvar og </w:t>
      </w:r>
      <w:r w:rsidR="00645E68" w:rsidRPr="003B0278">
        <w:t>oprydningsansvar på filtre til tobaksvarer</w:t>
      </w:r>
      <w:r w:rsidR="009E3365" w:rsidRPr="003B0278">
        <w:t xml:space="preserve"> samt </w:t>
      </w:r>
      <w:r w:rsidR="005A3F44" w:rsidRPr="003B0278">
        <w:t>producentansvar vedrørende</w:t>
      </w:r>
      <w:r w:rsidR="00A536A1" w:rsidRPr="003B0278">
        <w:t xml:space="preserve"> </w:t>
      </w:r>
      <w:r w:rsidR="003F0A03">
        <w:t>de øvrige SUP-</w:t>
      </w:r>
      <w:r w:rsidR="009E3365" w:rsidRPr="003B0278">
        <w:t xml:space="preserve">produkter. </w:t>
      </w:r>
    </w:p>
    <w:p w14:paraId="6D6B1F72" w14:textId="77777777" w:rsidR="000350A4" w:rsidRPr="00881C00" w:rsidRDefault="000350A4" w:rsidP="000350A4">
      <w:pPr>
        <w:pStyle w:val="Overskrift2"/>
        <w:rPr>
          <w:b w:val="0"/>
        </w:rPr>
      </w:pPr>
      <w:r>
        <w:t>S</w:t>
      </w:r>
      <w:r w:rsidRPr="00881C00">
        <w:t>ucceskriterier</w:t>
      </w:r>
    </w:p>
    <w:p w14:paraId="41A2485B" w14:textId="77777777" w:rsidR="000350A4" w:rsidRPr="00881C00" w:rsidRDefault="000350A4" w:rsidP="000350A4">
      <w:bookmarkStart w:id="3" w:name="_Ref3911334"/>
      <w:r w:rsidRPr="00881C00">
        <w:t>Succeskriterierne for denne opgave er at:</w:t>
      </w:r>
    </w:p>
    <w:bookmarkEnd w:id="3"/>
    <w:p w14:paraId="3C622BC7" w14:textId="23C50201" w:rsidR="00A536A1" w:rsidRDefault="00A536A1" w:rsidP="00E22E97">
      <w:pPr>
        <w:pStyle w:val="Opstilling-punkttegn"/>
      </w:pPr>
      <w:r w:rsidRPr="00736CEE">
        <w:t xml:space="preserve">Få foretaget en </w:t>
      </w:r>
      <w:r w:rsidR="00C34722">
        <w:t>ny</w:t>
      </w:r>
      <w:r w:rsidR="001A7320" w:rsidRPr="00736CEE">
        <w:t xml:space="preserve"> og </w:t>
      </w:r>
      <w:r w:rsidR="00427FE4" w:rsidRPr="00736CEE">
        <w:t>uddybende</w:t>
      </w:r>
      <w:r w:rsidR="0070400C" w:rsidRPr="00736CEE">
        <w:t xml:space="preserve"> analyse i tråd med</w:t>
      </w:r>
      <w:r w:rsidR="001A7320" w:rsidRPr="00736CEE">
        <w:t xml:space="preserve"> rapporten fra 2020,</w:t>
      </w:r>
      <w:r w:rsidR="0070400C" w:rsidRPr="00736CEE">
        <w:t xml:space="preserve"> af hvilke mængder</w:t>
      </w:r>
      <w:r w:rsidR="001D5AAA" w:rsidRPr="00736CEE">
        <w:t xml:space="preserve"> og </w:t>
      </w:r>
      <w:r w:rsidR="0016027A" w:rsidRPr="00736CEE">
        <w:t>typer af produkter omfattet a</w:t>
      </w:r>
      <w:r w:rsidR="00C44909">
        <w:t>f</w:t>
      </w:r>
      <w:r w:rsidR="0016027A" w:rsidRPr="00736CEE">
        <w:t xml:space="preserve"> SUPD</w:t>
      </w:r>
      <w:r w:rsidR="00804383">
        <w:t>,</w:t>
      </w:r>
      <w:r w:rsidR="001D5AAA" w:rsidRPr="00736CEE">
        <w:t xml:space="preserve"> der opsamles ved r</w:t>
      </w:r>
      <w:r w:rsidR="00A65858" w:rsidRPr="00736CEE">
        <w:t>enhold og tømning af offentlige skraldespande</w:t>
      </w:r>
      <w:r w:rsidR="00804383">
        <w:t>,</w:t>
      </w:r>
      <w:r w:rsidR="00A65858" w:rsidRPr="00736CEE">
        <w:t xml:space="preserve"> samt </w:t>
      </w:r>
      <w:r w:rsidRPr="00736CEE">
        <w:t>hvordan omkostninger til renhold opgøres i kommunerne i dag,</w:t>
      </w:r>
      <w:r w:rsidR="00A65858" w:rsidRPr="00736CEE">
        <w:t xml:space="preserve"> herunder også overblik over </w:t>
      </w:r>
      <w:r w:rsidRPr="00736CEE">
        <w:t>hvilke aktiviteter</w:t>
      </w:r>
      <w:r w:rsidR="00804383">
        <w:t>,</w:t>
      </w:r>
      <w:r w:rsidRPr="00736CEE">
        <w:t xml:space="preserve"> der </w:t>
      </w:r>
      <w:r w:rsidR="0016027A" w:rsidRPr="00736CEE">
        <w:t xml:space="preserve">reelt </w:t>
      </w:r>
      <w:r w:rsidR="0070400C" w:rsidRPr="00736CEE">
        <w:t xml:space="preserve">indgår i </w:t>
      </w:r>
      <w:r w:rsidR="00A65858" w:rsidRPr="00736CEE">
        <w:t xml:space="preserve">udgifterne til </w:t>
      </w:r>
      <w:r w:rsidR="0070400C" w:rsidRPr="00736CEE">
        <w:t>renhold f.eks. nyttejob</w:t>
      </w:r>
      <w:r w:rsidR="00B41499" w:rsidRPr="00736CEE">
        <w:t xml:space="preserve"> og flexjob</w:t>
      </w:r>
      <w:r w:rsidRPr="00736CEE">
        <w:t xml:space="preserve">. </w:t>
      </w:r>
      <w:r w:rsidR="00354063" w:rsidRPr="00736CEE">
        <w:t>Undersøgelsens data skal være direkte sammenlignelige med data fra rapporten i 2020, men også tilvejebringe ny og mere detaljeret viden.</w:t>
      </w:r>
    </w:p>
    <w:p w14:paraId="6534C067" w14:textId="77777777" w:rsidR="00D33483" w:rsidRPr="00736CEE" w:rsidRDefault="00D33483" w:rsidP="00EC0DC9">
      <w:pPr>
        <w:pStyle w:val="Opstilling-punkttegn"/>
        <w:numPr>
          <w:ilvl w:val="0"/>
          <w:numId w:val="0"/>
        </w:numPr>
        <w:ind w:left="1305"/>
      </w:pPr>
    </w:p>
    <w:p w14:paraId="013CB5C0" w14:textId="64D6AD7E" w:rsidR="00354063" w:rsidRDefault="00A536A1" w:rsidP="00EC0DC9">
      <w:pPr>
        <w:pStyle w:val="Opstilling-punkttegn"/>
      </w:pPr>
      <w:r w:rsidRPr="00736CEE">
        <w:t xml:space="preserve">Få estimater af </w:t>
      </w:r>
      <w:r w:rsidR="00354063" w:rsidRPr="00736CEE">
        <w:t>høj kvalitet</w:t>
      </w:r>
      <w:r w:rsidRPr="00736CEE">
        <w:t xml:space="preserve"> </w:t>
      </w:r>
      <w:r w:rsidR="000350A4" w:rsidRPr="00736CEE">
        <w:t xml:space="preserve">over mængderne </w:t>
      </w:r>
      <w:r w:rsidR="004F7F06">
        <w:t xml:space="preserve">i vægt og antal </w:t>
      </w:r>
      <w:r w:rsidR="000350A4" w:rsidRPr="00736CEE">
        <w:t>af de enkelte produkttyper</w:t>
      </w:r>
      <w:r w:rsidR="006636A0" w:rsidRPr="00736CEE">
        <w:t>,</w:t>
      </w:r>
      <w:r w:rsidR="000350A4" w:rsidRPr="00736CEE">
        <w:t xml:space="preserve"> omfattet af SUPD</w:t>
      </w:r>
      <w:r w:rsidR="006636A0" w:rsidRPr="00736CEE">
        <w:t>,</w:t>
      </w:r>
      <w:r w:rsidR="000350A4" w:rsidRPr="00736CEE">
        <w:t xml:space="preserve"> som</w:t>
      </w:r>
      <w:r w:rsidR="00886CF5">
        <w:t xml:space="preserve"> indsamles ved henholdsvis tømning af offentlige affaldsbeholdere, og oprydning af henkastet affald</w:t>
      </w:r>
      <w:r w:rsidR="000350A4" w:rsidRPr="00736CEE">
        <w:t xml:space="preserve"> i det offentlige rum</w:t>
      </w:r>
      <w:r w:rsidR="00736CEE" w:rsidRPr="00736CEE">
        <w:t>, herunder</w:t>
      </w:r>
      <w:r w:rsidR="00886CF5">
        <w:t xml:space="preserve"> også vådservietter og balloner. Estimaterne skal medvirke til at gøre </w:t>
      </w:r>
      <w:r w:rsidRPr="00736CEE">
        <w:t>datagrundlaget for</w:t>
      </w:r>
      <w:r w:rsidR="005F0A88">
        <w:t xml:space="preserve"> </w:t>
      </w:r>
      <w:r w:rsidR="00886CF5">
        <w:t xml:space="preserve">fremtidige </w:t>
      </w:r>
      <w:r w:rsidR="005F0A88">
        <w:t>gebyrberegninge</w:t>
      </w:r>
      <w:r w:rsidR="00886CF5">
        <w:t>r</w:t>
      </w:r>
      <w:r w:rsidR="005F0A88">
        <w:t xml:space="preserve"> så valid</w:t>
      </w:r>
      <w:r w:rsidR="00886CF5">
        <w:t>e</w:t>
      </w:r>
      <w:r w:rsidRPr="00736CEE">
        <w:t xml:space="preserve"> som muligt</w:t>
      </w:r>
      <w:r w:rsidR="000350A4" w:rsidRPr="00736CEE">
        <w:t>.</w:t>
      </w:r>
    </w:p>
    <w:p w14:paraId="4FD0F57A" w14:textId="4D998200" w:rsidR="00D33483" w:rsidRPr="00736CEE" w:rsidRDefault="00D33483" w:rsidP="00EC0DC9">
      <w:pPr>
        <w:pStyle w:val="Opstilling-punkttegn"/>
        <w:numPr>
          <w:ilvl w:val="0"/>
          <w:numId w:val="0"/>
        </w:numPr>
      </w:pPr>
    </w:p>
    <w:p w14:paraId="73F0C465" w14:textId="151D1258" w:rsidR="000350A4" w:rsidRDefault="000350A4" w:rsidP="00EC0DC9">
      <w:pPr>
        <w:pStyle w:val="Opstilling-punkttegn"/>
      </w:pPr>
      <w:r w:rsidRPr="00736CEE">
        <w:t xml:space="preserve">Få estimater af høj </w:t>
      </w:r>
      <w:r w:rsidR="00736CEE" w:rsidRPr="00736CEE">
        <w:t>kvalitet</w:t>
      </w:r>
      <w:r w:rsidRPr="00736CEE">
        <w:t xml:space="preserve"> af </w:t>
      </w:r>
      <w:r w:rsidR="005F0A88">
        <w:t>faktiske oprydningsomkostninger</w:t>
      </w:r>
      <w:r w:rsidRPr="00736CEE">
        <w:t xml:space="preserve"> </w:t>
      </w:r>
      <w:r w:rsidRPr="00223567">
        <w:t xml:space="preserve">for kommunerne og relevante myndigheder for </w:t>
      </w:r>
      <w:r>
        <w:t>hver enkelt produkttype omfattet af SUPD</w:t>
      </w:r>
      <w:r w:rsidR="005F0A88">
        <w:t>, herunder også udgifter til renhold udført af personer ansat i f.eks. flex-og nyttejob m.m</w:t>
      </w:r>
      <w:r w:rsidR="001C04C2">
        <w:t>. samt materiel</w:t>
      </w:r>
      <w:r w:rsidRPr="00223567">
        <w:t>.</w:t>
      </w:r>
    </w:p>
    <w:p w14:paraId="1755735E" w14:textId="237D52BF" w:rsidR="00D33483" w:rsidRDefault="00D33483" w:rsidP="00EC0DC9">
      <w:pPr>
        <w:pStyle w:val="Opstilling-punkttegn"/>
        <w:numPr>
          <w:ilvl w:val="0"/>
          <w:numId w:val="0"/>
        </w:numPr>
      </w:pPr>
    </w:p>
    <w:p w14:paraId="61B7D9E4" w14:textId="6C17CE13" w:rsidR="000E2747" w:rsidRDefault="000E2747" w:rsidP="00EC0DC9">
      <w:pPr>
        <w:pStyle w:val="Opstilling-punkttegn"/>
      </w:pPr>
      <w:r>
        <w:t>Få estimater af høj kvalitet over antal af producenter af de enkelte produkttyper omfattet af SUPD samt es</w:t>
      </w:r>
      <w:r w:rsidR="003906E0">
        <w:t>timerede markedsførte mængder p</w:t>
      </w:r>
      <w:r>
        <w:t>r</w:t>
      </w:r>
      <w:r w:rsidR="003906E0">
        <w:t>.</w:t>
      </w:r>
      <w:r>
        <w:t xml:space="preserve"> produkttype. </w:t>
      </w:r>
    </w:p>
    <w:p w14:paraId="2EFDFCEC" w14:textId="0BB8A496" w:rsidR="00D33483" w:rsidRDefault="00D33483" w:rsidP="00EC0DC9">
      <w:pPr>
        <w:pStyle w:val="Opstilling-punkttegn"/>
        <w:numPr>
          <w:ilvl w:val="0"/>
          <w:numId w:val="0"/>
        </w:numPr>
      </w:pPr>
    </w:p>
    <w:p w14:paraId="76AB3E77" w14:textId="67E42E0D" w:rsidR="000350A4" w:rsidRPr="00E22E97" w:rsidRDefault="00A536A1" w:rsidP="00E22E97">
      <w:pPr>
        <w:pStyle w:val="Opstilling-punkttegn"/>
      </w:pPr>
      <w:r w:rsidRPr="00E22E97">
        <w:t xml:space="preserve">Få estimater af </w:t>
      </w:r>
      <w:r w:rsidR="00736CEE" w:rsidRPr="00E22E97">
        <w:t>høj kvalitet</w:t>
      </w:r>
      <w:r w:rsidR="000350A4" w:rsidRPr="00E22E97">
        <w:t xml:space="preserve"> over </w:t>
      </w:r>
      <w:r w:rsidR="00E22E97" w:rsidRPr="00E22E97">
        <w:t xml:space="preserve">samlet </w:t>
      </w:r>
      <w:r w:rsidR="000350A4" w:rsidRPr="00E22E97">
        <w:t>vægt af affald efter forbrug af tobaksvarer med filtre og filtre, der markedsføres til anvendelse i kombination med tobaksvarer, der indsamles som henkastet affald og via offentlige affaldsindsamlingssystemer</w:t>
      </w:r>
      <w:r w:rsidR="00CF07A6" w:rsidRPr="00E22E97">
        <w:t>.</w:t>
      </w:r>
    </w:p>
    <w:p w14:paraId="0E69B327" w14:textId="1818DC15" w:rsidR="00D33483" w:rsidRPr="003431F8" w:rsidRDefault="00D33483" w:rsidP="00EC0DC9">
      <w:pPr>
        <w:pStyle w:val="Opstilling-punkttegn"/>
        <w:numPr>
          <w:ilvl w:val="0"/>
          <w:numId w:val="0"/>
        </w:numPr>
      </w:pPr>
    </w:p>
    <w:p w14:paraId="61B5DF43" w14:textId="05A49D11" w:rsidR="000350A4" w:rsidRPr="00DF38B8" w:rsidRDefault="000350A4" w:rsidP="00EC0DC9">
      <w:pPr>
        <w:pStyle w:val="Opstilling-punkttegn"/>
      </w:pPr>
      <w:r w:rsidRPr="00DF38B8">
        <w:t>Få en endelig samle</w:t>
      </w:r>
      <w:r w:rsidR="005C76AF">
        <w:t>t rapport på dansk</w:t>
      </w:r>
      <w:r w:rsidR="001713A5">
        <w:t>, hvor den opdaterede</w:t>
      </w:r>
      <w:r w:rsidR="00A536A1">
        <w:t xml:space="preserve"> data er </w:t>
      </w:r>
      <w:r w:rsidR="001713A5">
        <w:t xml:space="preserve">direkte </w:t>
      </w:r>
      <w:r w:rsidR="00A536A1">
        <w:t xml:space="preserve">sammenlignelig med data fra den </w:t>
      </w:r>
      <w:r w:rsidR="004A186A">
        <w:t>tidligere rapport. N</w:t>
      </w:r>
      <w:r w:rsidR="001713A5">
        <w:t>y viden skal fremstilles i et format, hvor det fremover kan bruges som sammenligningsgrundlag. Rapporten skal også indeholde</w:t>
      </w:r>
      <w:r>
        <w:t xml:space="preserve"> en fyldestgørende sammenfatning leveret i Miljøstyrelsens rapportskabelon</w:t>
      </w:r>
      <w:r w:rsidR="004A186A">
        <w:t xml:space="preserve"> samt et resumé på engelsk. </w:t>
      </w:r>
      <w:r w:rsidRPr="00DF38B8">
        <w:t xml:space="preserve"> </w:t>
      </w:r>
    </w:p>
    <w:p w14:paraId="1942FDBC" w14:textId="77777777" w:rsidR="000350A4" w:rsidRPr="00556BF2" w:rsidRDefault="000350A4" w:rsidP="000A71C9"/>
    <w:p w14:paraId="3A0CDA75" w14:textId="77777777" w:rsidR="000A71C9" w:rsidRPr="00941DEE" w:rsidRDefault="000A71C9" w:rsidP="000A71C9">
      <w:pPr>
        <w:pStyle w:val="Overskrift2"/>
        <w:rPr>
          <w:b w:val="0"/>
        </w:rPr>
      </w:pPr>
      <w:r w:rsidRPr="00941DEE">
        <w:t>Opgavens indhold</w:t>
      </w:r>
      <w:bookmarkEnd w:id="1"/>
    </w:p>
    <w:p w14:paraId="1A258715" w14:textId="0E93DBD5" w:rsidR="000A71C9" w:rsidRPr="00700AB3" w:rsidRDefault="000A71C9" w:rsidP="000A71C9">
      <w:r>
        <w:t xml:space="preserve">Opgavens indhold består i </w:t>
      </w:r>
      <w:r w:rsidR="00091E2A">
        <w:t xml:space="preserve">at udarbejde </w:t>
      </w:r>
      <w:r w:rsidR="00AF3D92">
        <w:t>en udvidet</w:t>
      </w:r>
      <w:r w:rsidRPr="000777A7">
        <w:t xml:space="preserve"> kvalificering af omkostninger </w:t>
      </w:r>
      <w:r w:rsidR="00F0706C">
        <w:t xml:space="preserve">forbundet med </w:t>
      </w:r>
      <w:r w:rsidR="00AF3D92">
        <w:t>renhold</w:t>
      </w:r>
      <w:r w:rsidR="00071C9F">
        <w:t xml:space="preserve"> af offentlige arealer</w:t>
      </w:r>
      <w:r w:rsidR="00C92EE1">
        <w:t>,</w:t>
      </w:r>
      <w:r w:rsidR="00AF3D92">
        <w:t xml:space="preserve"> </w:t>
      </w:r>
      <w:r w:rsidR="00071C9F">
        <w:t>som varetages af Kommunerne, N</w:t>
      </w:r>
      <w:r w:rsidR="00AF3D92" w:rsidRPr="005B2989">
        <w:t>aturstyrelse</w:t>
      </w:r>
      <w:r w:rsidR="00071C9F">
        <w:t>n og Vejdirektoratet</w:t>
      </w:r>
      <w:r w:rsidR="00700AB3">
        <w:rPr>
          <w:rStyle w:val="Fodnotehenvisning"/>
        </w:rPr>
        <w:footnoteReference w:id="4"/>
      </w:r>
      <w:r w:rsidR="00700AB3">
        <w:t xml:space="preserve">. </w:t>
      </w:r>
      <w:r w:rsidR="00700AB3" w:rsidRPr="000777A7">
        <w:t>Dette kræ</w:t>
      </w:r>
      <w:r w:rsidR="00C92EE1">
        <w:t>ver en konkret analyse af de faktiske</w:t>
      </w:r>
      <w:r w:rsidR="00700AB3" w:rsidRPr="000777A7">
        <w:t xml:space="preserve"> omkostninger til </w:t>
      </w:r>
      <w:r w:rsidR="000528C8">
        <w:t>renhold</w:t>
      </w:r>
      <w:r w:rsidR="00700AB3" w:rsidRPr="000777A7">
        <w:t>, som kommunerne</w:t>
      </w:r>
      <w:r w:rsidR="00886143">
        <w:t xml:space="preserve"> og staten</w:t>
      </w:r>
      <w:r w:rsidR="00700AB3" w:rsidRPr="000777A7">
        <w:t xml:space="preserve"> har i dag, og dermed hvilke omkostninger, som producenterne vil </w:t>
      </w:r>
      <w:r w:rsidR="00700AB3">
        <w:t>skulle dække gennem udvidet</w:t>
      </w:r>
      <w:r w:rsidR="00700AB3" w:rsidRPr="000777A7">
        <w:t xml:space="preserve"> producentansvar og oprydningsansvar.</w:t>
      </w:r>
      <w:r w:rsidR="00700AB3">
        <w:t xml:space="preserve"> </w:t>
      </w:r>
    </w:p>
    <w:p w14:paraId="0BE85C1F" w14:textId="5E04A09C" w:rsidR="00071C9F" w:rsidRDefault="005B2989" w:rsidP="007544F7">
      <w:r>
        <w:t>Op</w:t>
      </w:r>
      <w:r w:rsidR="00921BC7">
        <w:t>gaven skal bibringe</w:t>
      </w:r>
      <w:r w:rsidR="00F67A85">
        <w:t xml:space="preserve"> data</w:t>
      </w:r>
      <w:r>
        <w:t xml:space="preserve"> om h</w:t>
      </w:r>
      <w:r w:rsidRPr="005B2989">
        <w:t xml:space="preserve">vilke </w:t>
      </w:r>
      <w:r w:rsidR="00E93334">
        <w:t xml:space="preserve">omkostninger til </w:t>
      </w:r>
      <w:r w:rsidRPr="005B2989">
        <w:t>aktiviteter og oprydningsudstyr som f.eks. manuel oprydning, bortskaffelse</w:t>
      </w:r>
      <w:r w:rsidR="009A1811">
        <w:t>,</w:t>
      </w:r>
      <w:r w:rsidRPr="005B2989">
        <w:t xml:space="preserve"> </w:t>
      </w:r>
      <w:r w:rsidR="009A1811" w:rsidRPr="005B2989">
        <w:t xml:space="preserve">fejemaskiner, </w:t>
      </w:r>
      <w:r w:rsidR="00E93334">
        <w:t>samt</w:t>
      </w:r>
      <w:r w:rsidRPr="005B2989">
        <w:t xml:space="preserve"> løn til personale</w:t>
      </w:r>
      <w:r w:rsidR="0016027A">
        <w:t>, herunder også ansatte i flex-og nyttejob m.m.</w:t>
      </w:r>
      <w:r>
        <w:t xml:space="preserve">, som </w:t>
      </w:r>
      <w:r w:rsidRPr="005B2989">
        <w:t xml:space="preserve">i dag </w:t>
      </w:r>
      <w:r>
        <w:t xml:space="preserve">er omfattet </w:t>
      </w:r>
      <w:r w:rsidRPr="005B2989">
        <w:t>af de forskellige kommuners og statens re</w:t>
      </w:r>
      <w:r w:rsidR="00071C9F">
        <w:t xml:space="preserve">nholdelsesbudget. </w:t>
      </w:r>
    </w:p>
    <w:p w14:paraId="7F7C6533" w14:textId="1451B1F0" w:rsidR="00F920B4" w:rsidRDefault="00F67A85" w:rsidP="007544F7">
      <w:r>
        <w:t>Opgaven skal i ø</w:t>
      </w:r>
      <w:r w:rsidR="00921BC7">
        <w:t>vrigt også bibringe</w:t>
      </w:r>
      <w:r>
        <w:t xml:space="preserve"> data om</w:t>
      </w:r>
      <w:r w:rsidR="005B2989">
        <w:t xml:space="preserve"> hvordan </w:t>
      </w:r>
      <w:r w:rsidR="005B2989" w:rsidRPr="005B2989">
        <w:t xml:space="preserve">oprydningsaktiviteter </w:t>
      </w:r>
      <w:r w:rsidR="00F920B4">
        <w:t xml:space="preserve">prioriteres </w:t>
      </w:r>
      <w:r w:rsidR="005B2989" w:rsidRPr="005B2989">
        <w:t>på forskel</w:t>
      </w:r>
      <w:r w:rsidR="00CC7CA7">
        <w:t>l</w:t>
      </w:r>
      <w:r w:rsidR="005B2989" w:rsidRPr="005B2989">
        <w:t>ige loka</w:t>
      </w:r>
      <w:r w:rsidR="00C95F65">
        <w:t>tionstyper i kommun</w:t>
      </w:r>
      <w:r w:rsidR="00F920B4">
        <w:t>ern</w:t>
      </w:r>
      <w:r w:rsidR="00C95F65">
        <w:t xml:space="preserve">e og staten. </w:t>
      </w:r>
    </w:p>
    <w:p w14:paraId="2CBBFC88" w14:textId="4D14CFC6" w:rsidR="005B2989" w:rsidRPr="00F920B4" w:rsidRDefault="00F920B4" w:rsidP="007544F7">
      <w:pPr>
        <w:rPr>
          <w:color w:val="FF0000"/>
        </w:rPr>
      </w:pPr>
      <w:r>
        <w:t>Opgørelsesmetode</w:t>
      </w:r>
      <w:r w:rsidR="00C95F65" w:rsidRPr="00B82B23">
        <w:t xml:space="preserve">n skal i øvrigt </w:t>
      </w:r>
      <w:r w:rsidR="00951DE8">
        <w:t xml:space="preserve">følge den tidligere anvendte </w:t>
      </w:r>
      <w:r w:rsidR="00C95F65" w:rsidRPr="00B82B23">
        <w:t xml:space="preserve">metode </w:t>
      </w:r>
      <w:r w:rsidR="00951DE8">
        <w:t>jf.</w:t>
      </w:r>
      <w:r w:rsidR="007544F7" w:rsidRPr="00B82B23">
        <w:t xml:space="preserve"> rapport</w:t>
      </w:r>
      <w:r w:rsidR="00951DE8">
        <w:t xml:space="preserve"> (2020)</w:t>
      </w:r>
      <w:r w:rsidR="00AF3D92">
        <w:rPr>
          <w:rStyle w:val="Fodnotehenvisning"/>
        </w:rPr>
        <w:footnoteReference w:id="5"/>
      </w:r>
      <w:r w:rsidR="007544F7" w:rsidRPr="00B82B23">
        <w:t xml:space="preserve"> </w:t>
      </w:r>
      <w:r w:rsidR="00386660">
        <w:t>for at sikre et sammenligningsgrundlag</w:t>
      </w:r>
      <w:r w:rsidR="00C95F65" w:rsidRPr="00B82B23">
        <w:t xml:space="preserve"> </w:t>
      </w:r>
      <w:r w:rsidR="00951DE8">
        <w:t>for</w:t>
      </w:r>
      <w:r w:rsidR="00C95F65" w:rsidRPr="00B82B23">
        <w:t xml:space="preserve"> fremtidige målinger. Ved at </w:t>
      </w:r>
      <w:r w:rsidR="007544F7" w:rsidRPr="00B82B23">
        <w:t>anvende</w:t>
      </w:r>
      <w:r w:rsidR="00A536A1">
        <w:t xml:space="preserve"> en </w:t>
      </w:r>
      <w:r w:rsidR="00386660">
        <w:t>skalérbar</w:t>
      </w:r>
      <w:r w:rsidR="00A536A1">
        <w:t xml:space="preserve"> metode, kan Miljøstyrelsen </w:t>
      </w:r>
      <w:r w:rsidR="00C95F65" w:rsidRPr="00B82B23">
        <w:t xml:space="preserve">følge udviklingen af henkastet </w:t>
      </w:r>
      <w:r w:rsidR="00C173CC">
        <w:t xml:space="preserve">og </w:t>
      </w:r>
      <w:r w:rsidR="00674C02">
        <w:t>ind</w:t>
      </w:r>
      <w:r w:rsidR="00C173CC">
        <w:t xml:space="preserve">samlet </w:t>
      </w:r>
      <w:r w:rsidR="00C95F65" w:rsidRPr="00B82B23">
        <w:t>affald og dermed i nogen grad effekten af oplysningstiltagene.</w:t>
      </w:r>
      <w:r w:rsidR="007544F7" w:rsidRPr="00B82B23">
        <w:t xml:space="preserve"> En dybdegående analyse af renholdsomkostninger, som indeholder metoder, data og output, er fortsat nødvendig, fordi mange af de offentlige myndigheder, der varetager renhold, ikke har opgørelser for mængder og omkostninger på det nødvendige detailniveau</w:t>
      </w:r>
      <w:r w:rsidR="00A23FCF">
        <w:rPr>
          <w:color w:val="FF0000"/>
        </w:rPr>
        <w:t>.</w:t>
      </w:r>
    </w:p>
    <w:p w14:paraId="42D3C752" w14:textId="77777777" w:rsidR="000A71C9" w:rsidRPr="000777A7" w:rsidRDefault="000A71C9" w:rsidP="000A71C9">
      <w:r>
        <w:t xml:space="preserve">Denne kortlægning skal sikre </w:t>
      </w:r>
      <w:r w:rsidR="006A1546">
        <w:t xml:space="preserve">data om omkostninger forbundet med renhold af henkastet affald, samt affaldsbehandling af indsamlet affald som defineret i direktivet, samt </w:t>
      </w:r>
      <w:r>
        <w:t>grundlag for dialog med relevante interessenter</w:t>
      </w:r>
      <w:r w:rsidR="006A1546">
        <w:t xml:space="preserve">. </w:t>
      </w:r>
      <w:r w:rsidRPr="000777A7">
        <w:t xml:space="preserve">Følgende </w:t>
      </w:r>
      <w:r>
        <w:t>arbejdspakker skal gennemføres i dette projekt:</w:t>
      </w:r>
    </w:p>
    <w:p w14:paraId="51926D6E" w14:textId="1EEC084D" w:rsidR="000A71C9" w:rsidRPr="00370E1E" w:rsidRDefault="000A71C9" w:rsidP="000A71C9">
      <w:pPr>
        <w:rPr>
          <w:i/>
        </w:rPr>
      </w:pPr>
      <w:r w:rsidRPr="00370E1E">
        <w:rPr>
          <w:i/>
        </w:rPr>
        <w:lastRenderedPageBreak/>
        <w:t>Arbejdspakke 1 – Mængder henkastet affald</w:t>
      </w:r>
      <w:r w:rsidR="007E117E">
        <w:rPr>
          <w:i/>
        </w:rPr>
        <w:t xml:space="preserve"> og indsamlet affald</w:t>
      </w:r>
    </w:p>
    <w:p w14:paraId="4510FA57" w14:textId="77777777" w:rsidR="00D921CB" w:rsidRDefault="003A3D71" w:rsidP="00E22E97">
      <w:pPr>
        <w:pStyle w:val="Opstilling-punkttegn"/>
        <w:numPr>
          <w:ilvl w:val="0"/>
          <w:numId w:val="0"/>
        </w:numPr>
      </w:pPr>
      <w:r>
        <w:t>Der skal udarbejdes</w:t>
      </w:r>
      <w:r w:rsidRPr="00736CEE">
        <w:t xml:space="preserve"> en </w:t>
      </w:r>
      <w:r>
        <w:t>ny</w:t>
      </w:r>
      <w:r w:rsidRPr="00736CEE">
        <w:t xml:space="preserve"> og uddybende analyse i tråd med rapporten fra 2020</w:t>
      </w:r>
      <w:r w:rsidR="00D921CB">
        <w:t>.</w:t>
      </w:r>
    </w:p>
    <w:p w14:paraId="30E21C4A" w14:textId="77777777" w:rsidR="00E22E97" w:rsidRDefault="00E22E97" w:rsidP="00E22E97">
      <w:pPr>
        <w:pStyle w:val="Opstilling-punkttegn"/>
        <w:numPr>
          <w:ilvl w:val="0"/>
          <w:numId w:val="0"/>
        </w:numPr>
        <w:ind w:left="851"/>
      </w:pPr>
    </w:p>
    <w:p w14:paraId="01BC863A" w14:textId="596522D7" w:rsidR="00EC0DC9" w:rsidRDefault="00D921CB" w:rsidP="00EC0DC9">
      <w:pPr>
        <w:pStyle w:val="Opstilling-punkttegn"/>
        <w:numPr>
          <w:ilvl w:val="0"/>
          <w:numId w:val="0"/>
        </w:numPr>
        <w:ind w:left="851"/>
      </w:pPr>
      <w:r>
        <w:t xml:space="preserve">Rapporten skal frembringe viden om, </w:t>
      </w:r>
      <w:r w:rsidR="003A3D71" w:rsidRPr="00736CEE">
        <w:t xml:space="preserve">hvilke mængder </w:t>
      </w:r>
      <w:r>
        <w:t>af de forskellige typer af produkter omfattet af</w:t>
      </w:r>
      <w:r w:rsidR="003A3D71" w:rsidRPr="00736CEE">
        <w:t xml:space="preserve"> SUPD der opsamles ved</w:t>
      </w:r>
      <w:r>
        <w:t xml:space="preserve"> henholdsvis</w:t>
      </w:r>
      <w:r w:rsidR="003A3D71" w:rsidRPr="00736CEE">
        <w:t xml:space="preserve"> renhold og tømning af offentlige skraldespande</w:t>
      </w:r>
      <w:r>
        <w:t>, herunder også mængden i stk</w:t>
      </w:r>
      <w:r w:rsidR="00693893">
        <w:t>.</w:t>
      </w:r>
      <w:r>
        <w:t xml:space="preserve"> og vægt af henkastede balloner og vådservietter. Mængderne skal fremgå i både stk</w:t>
      </w:r>
      <w:r w:rsidR="00693893">
        <w:t>.</w:t>
      </w:r>
      <w:r>
        <w:t xml:space="preserve"> og vægt for hver af de omfattede typer af produkter, og skal kunne henføres til </w:t>
      </w:r>
      <w:r w:rsidR="006A7EE9">
        <w:t>lokationstyper</w:t>
      </w:r>
      <w:r w:rsidR="00886143">
        <w:t>.</w:t>
      </w:r>
      <w:r w:rsidR="00EC0DC9">
        <w:t xml:space="preserve"> Begrundelsen for opdelingen i de valgte lokationstyper skal fremgå af rapporten.   </w:t>
      </w:r>
    </w:p>
    <w:p w14:paraId="36CE07AF" w14:textId="0311B917" w:rsidR="003A3D71" w:rsidRDefault="003A3D71" w:rsidP="00EC0DC9">
      <w:pPr>
        <w:pStyle w:val="Opstilling-punkttegn"/>
        <w:numPr>
          <w:ilvl w:val="0"/>
          <w:numId w:val="0"/>
        </w:numPr>
        <w:ind w:left="1305"/>
      </w:pPr>
    </w:p>
    <w:p w14:paraId="2421B45B" w14:textId="77777777" w:rsidR="00EC0DC9" w:rsidRDefault="00D921CB" w:rsidP="00EC0DC9">
      <w:pPr>
        <w:pStyle w:val="Opstilling-punkttegn"/>
        <w:numPr>
          <w:ilvl w:val="0"/>
          <w:numId w:val="0"/>
        </w:numPr>
        <w:ind w:left="851"/>
      </w:pPr>
      <w:r>
        <w:t>Data ønskes frembragt ved brug af eksisterende data og undersøgelse</w:t>
      </w:r>
      <w:r w:rsidR="006A7EE9">
        <w:t>r</w:t>
      </w:r>
      <w:r>
        <w:t>, herunder også viden opnået af frivillige aktører, men også ved udførelse af en repræsentativ affaldsanalyse af indsamlet affald fra offentlig skraldespande, samt opsa</w:t>
      </w:r>
      <w:r w:rsidR="006A7EE9">
        <w:t>mlede mængder henkastet affald på offentlige arealer.</w:t>
      </w:r>
      <w:r w:rsidR="00CC6312">
        <w:t xml:space="preserve"> </w:t>
      </w:r>
    </w:p>
    <w:p w14:paraId="6A5D9998" w14:textId="77777777" w:rsidR="00EC0DC9" w:rsidRDefault="00EC0DC9" w:rsidP="00EC0DC9">
      <w:pPr>
        <w:pStyle w:val="Opstilling-punkttegn"/>
        <w:numPr>
          <w:ilvl w:val="0"/>
          <w:numId w:val="0"/>
        </w:numPr>
        <w:ind w:left="851"/>
      </w:pPr>
    </w:p>
    <w:p w14:paraId="064A2443" w14:textId="77777777" w:rsidR="00EC0DC9" w:rsidRDefault="00CC6312" w:rsidP="00EC0DC9">
      <w:pPr>
        <w:pStyle w:val="Opstilling-punkttegn"/>
        <w:numPr>
          <w:ilvl w:val="0"/>
          <w:numId w:val="0"/>
        </w:numPr>
        <w:ind w:left="851"/>
      </w:pPr>
      <w:r>
        <w:t xml:space="preserve">Analysen skal indeholde data for hver af produkttyperne der er omfattet af </w:t>
      </w:r>
      <w:r w:rsidR="00A9306F">
        <w:t>SUPD</w:t>
      </w:r>
      <w:r>
        <w:t>, samt overordnede konklusioner og kommentarer om andet affald, der ik</w:t>
      </w:r>
      <w:r w:rsidR="00A9306F">
        <w:t>ke er omfattet af SUPD</w:t>
      </w:r>
      <w:r>
        <w:t xml:space="preserve">, så der opnås detaljeret viden om SUP produkterne, men i en kontekst af det øvrige affald. </w:t>
      </w:r>
    </w:p>
    <w:p w14:paraId="5B1352ED" w14:textId="77777777" w:rsidR="00EC0DC9" w:rsidRDefault="00EC0DC9" w:rsidP="00EC0DC9">
      <w:pPr>
        <w:pStyle w:val="Opstilling-punkttegn"/>
        <w:numPr>
          <w:ilvl w:val="0"/>
          <w:numId w:val="0"/>
        </w:numPr>
        <w:ind w:left="851"/>
      </w:pPr>
    </w:p>
    <w:p w14:paraId="603C99CA" w14:textId="77777777" w:rsidR="00EC0DC9" w:rsidRDefault="00CC6312" w:rsidP="00EC0DC9">
      <w:pPr>
        <w:pStyle w:val="Opstilling-punkttegn"/>
        <w:numPr>
          <w:ilvl w:val="0"/>
          <w:numId w:val="0"/>
        </w:numPr>
        <w:ind w:left="851"/>
      </w:pPr>
      <w:r>
        <w:t xml:space="preserve">Analysen skal være repræsentativ for forskellige kommunetyper, og inkludere deres indbyggertal, så der opnås et realistisk generelt estimat af mængder pr. indbygger. </w:t>
      </w:r>
      <w:r w:rsidR="00DA5E7B">
        <w:t xml:space="preserve">Det skal fremgå i hvilken periode analysen er udført, og hvor repræsentativ perioden skønnes at være. </w:t>
      </w:r>
    </w:p>
    <w:p w14:paraId="539523DF" w14:textId="77777777" w:rsidR="00EC0DC9" w:rsidRDefault="00EC0DC9" w:rsidP="00EC0DC9">
      <w:pPr>
        <w:pStyle w:val="Opstilling-punkttegn"/>
        <w:numPr>
          <w:ilvl w:val="0"/>
          <w:numId w:val="0"/>
        </w:numPr>
        <w:ind w:left="851"/>
      </w:pPr>
    </w:p>
    <w:p w14:paraId="2732C2AE" w14:textId="42133226" w:rsidR="003A3D71" w:rsidRDefault="00D921CB" w:rsidP="00EC0DC9">
      <w:pPr>
        <w:pStyle w:val="Opstilling-punkttegn"/>
        <w:numPr>
          <w:ilvl w:val="0"/>
          <w:numId w:val="0"/>
        </w:numPr>
        <w:ind w:left="851"/>
      </w:pPr>
      <w:r>
        <w:t xml:space="preserve">Analysens data skal være direkte sammenlignelige med data i rapporten fra 2020, men også gerne tilvejebringe ny og mere detaljeret viden, der kan indgå som sammenligningsgrundlag med fremtidige data. </w:t>
      </w:r>
    </w:p>
    <w:p w14:paraId="7577C021" w14:textId="77777777" w:rsidR="00886143" w:rsidRDefault="00886143" w:rsidP="00EC0DC9">
      <w:pPr>
        <w:pStyle w:val="Opstilling-punkttegn"/>
        <w:numPr>
          <w:ilvl w:val="0"/>
          <w:numId w:val="0"/>
        </w:numPr>
        <w:ind w:left="851"/>
      </w:pPr>
    </w:p>
    <w:p w14:paraId="37CCA956" w14:textId="77777777" w:rsidR="00886143" w:rsidRPr="00886143" w:rsidRDefault="00886143" w:rsidP="00943CC2">
      <w:pPr>
        <w:pStyle w:val="Opstilling-punkttegn"/>
        <w:numPr>
          <w:ilvl w:val="0"/>
          <w:numId w:val="0"/>
        </w:numPr>
        <w:ind w:left="851"/>
      </w:pPr>
      <w:r w:rsidRPr="00886143">
        <w:t>Desuden skal rapporten indeholde et estimat over mængderne af tobaksfiltre opgjort i antal ved håndopsamling og maskinelt renhold (så vidt det er muligt). Dette skal ske gennem dataindsamling fra tidligere undersøgelser samt dialog og interviews med relevante interessenter, som kommuner, organisationer og evt. andre frivillige aktører.</w:t>
      </w:r>
    </w:p>
    <w:p w14:paraId="1CD2F909" w14:textId="77777777" w:rsidR="00EC0DC9" w:rsidRDefault="00EC0DC9" w:rsidP="00EC0DC9">
      <w:pPr>
        <w:pStyle w:val="Opstilling-punkttegn"/>
        <w:numPr>
          <w:ilvl w:val="0"/>
          <w:numId w:val="0"/>
        </w:numPr>
        <w:ind w:left="851"/>
      </w:pPr>
    </w:p>
    <w:p w14:paraId="472D2253" w14:textId="6E936793" w:rsidR="00886143" w:rsidRDefault="00886143" w:rsidP="00797A97"/>
    <w:p w14:paraId="7FBB714C" w14:textId="5147B665" w:rsidR="00797A97" w:rsidRDefault="00797A97" w:rsidP="00797A97">
      <w:pPr>
        <w:rPr>
          <w:i/>
        </w:rPr>
      </w:pPr>
      <w:r w:rsidRPr="00370E1E">
        <w:rPr>
          <w:i/>
        </w:rPr>
        <w:t>Arbejdspakke 2 –</w:t>
      </w:r>
      <w:r>
        <w:rPr>
          <w:i/>
        </w:rPr>
        <w:t xml:space="preserve"> Omkostninger ved renhold</w:t>
      </w:r>
    </w:p>
    <w:p w14:paraId="145D0C3E" w14:textId="002FED75" w:rsidR="00797A97" w:rsidRDefault="00797A97" w:rsidP="004B50A4">
      <w:r w:rsidRPr="00A612DF">
        <w:lastRenderedPageBreak/>
        <w:t>Denne arbejdspakke bygger videre på resultaterne fra Arbejdspakke 1 for at sikre høj kvalitet af estimatet af oprydningsomkostningerne.</w:t>
      </w:r>
      <w:r w:rsidRPr="00797A97">
        <w:t xml:space="preserve"> </w:t>
      </w:r>
      <w:r w:rsidRPr="00A612DF">
        <w:t>Yderligere vil omkostningsopgørelserne, sammenholdt med mængdeangivelserne (</w:t>
      </w:r>
      <w:r>
        <w:t>A</w:t>
      </w:r>
      <w:r w:rsidRPr="00A612DF">
        <w:t>rbejdspakke 1), spille ind i beregningsgrundlaget for gebyret for de enkelte produkttyper.</w:t>
      </w:r>
    </w:p>
    <w:p w14:paraId="5A2F200F" w14:textId="6737A945" w:rsidR="002D1AA5" w:rsidRDefault="000A71C9" w:rsidP="00E22E97">
      <w:pPr>
        <w:pStyle w:val="Opstilling-punkttegn"/>
        <w:numPr>
          <w:ilvl w:val="0"/>
          <w:numId w:val="0"/>
        </w:numPr>
        <w:ind w:left="851"/>
      </w:pPr>
      <w:r>
        <w:t>Der skal i denne arbejdspakke udarbejdes et estimat af</w:t>
      </w:r>
      <w:r w:rsidRPr="000777A7">
        <w:t xml:space="preserve"> kommunernes</w:t>
      </w:r>
      <w:r>
        <w:t xml:space="preserve"> og statens</w:t>
      </w:r>
      <w:r w:rsidRPr="000777A7">
        <w:t xml:space="preserve"> </w:t>
      </w:r>
      <w:r w:rsidR="002D1AA5">
        <w:t>faktiske</w:t>
      </w:r>
      <w:r w:rsidRPr="000777A7">
        <w:t xml:space="preserve"> omkostninger forbundet med oprydning af henkastet affald og indsamling</w:t>
      </w:r>
      <w:r>
        <w:t xml:space="preserve"> i det offentlige rum</w:t>
      </w:r>
      <w:r w:rsidRPr="000777A7">
        <w:t xml:space="preserve"> af </w:t>
      </w:r>
      <w:r w:rsidR="008C497B">
        <w:t>de produkttyper, som er omfattet af SUPD</w:t>
      </w:r>
      <w:r w:rsidR="002D1AA5">
        <w:t>, fordelt på lokationstyper.</w:t>
      </w:r>
      <w:r w:rsidR="005730D8">
        <w:t xml:space="preserve"> </w:t>
      </w:r>
    </w:p>
    <w:p w14:paraId="58F1DB73" w14:textId="77777777" w:rsidR="00425171" w:rsidRDefault="00425171" w:rsidP="00E22E97">
      <w:pPr>
        <w:pStyle w:val="Opstilling-punkttegn"/>
        <w:numPr>
          <w:ilvl w:val="0"/>
          <w:numId w:val="0"/>
        </w:numPr>
        <w:ind w:left="851"/>
      </w:pPr>
    </w:p>
    <w:p w14:paraId="0C24F232" w14:textId="5D659B4C" w:rsidR="007E117E" w:rsidRDefault="00425171" w:rsidP="00EC0DC9">
      <w:pPr>
        <w:pStyle w:val="Opstilling-punkttegn"/>
        <w:numPr>
          <w:ilvl w:val="0"/>
          <w:numId w:val="0"/>
        </w:numPr>
        <w:ind w:left="851"/>
      </w:pPr>
      <w:r>
        <w:t xml:space="preserve">Der skal være en uddybende beskrivelse af </w:t>
      </w:r>
      <w:r w:rsidRPr="00736CEE">
        <w:t>hvordan omkostninger til renhold opgøres i kommuner</w:t>
      </w:r>
      <w:r>
        <w:t xml:space="preserve"> og hos øvrige relevante myndigheder</w:t>
      </w:r>
      <w:r w:rsidR="00546184">
        <w:t xml:space="preserve"> i dag, herunder også </w:t>
      </w:r>
      <w:r w:rsidRPr="00736CEE">
        <w:t>hvilke aktiviteter</w:t>
      </w:r>
      <w:r w:rsidR="00546184">
        <w:t xml:space="preserve"> </w:t>
      </w:r>
      <w:r w:rsidRPr="00736CEE">
        <w:t>der reelt indgår i udgifterne</w:t>
      </w:r>
      <w:r w:rsidR="00546184">
        <w:t xml:space="preserve"> til renhold</w:t>
      </w:r>
      <w:r w:rsidR="007E117E">
        <w:t>.</w:t>
      </w:r>
    </w:p>
    <w:p w14:paraId="1E03ADA5" w14:textId="77777777" w:rsidR="00EC0DC9" w:rsidRDefault="00EC0DC9" w:rsidP="00EC0DC9">
      <w:pPr>
        <w:pStyle w:val="Opstilling-punkttegn"/>
        <w:numPr>
          <w:ilvl w:val="0"/>
          <w:numId w:val="0"/>
        </w:numPr>
        <w:ind w:left="851"/>
      </w:pPr>
    </w:p>
    <w:p w14:paraId="32840B52" w14:textId="0E295029" w:rsidR="00546184" w:rsidRDefault="007E117E" w:rsidP="00EC0DC9">
      <w:pPr>
        <w:pStyle w:val="Opstilling-punkttegn"/>
        <w:numPr>
          <w:ilvl w:val="0"/>
          <w:numId w:val="0"/>
        </w:numPr>
        <w:ind w:left="851"/>
      </w:pPr>
      <w:r>
        <w:t xml:space="preserve">Der skal inddrages relevante og </w:t>
      </w:r>
      <w:r w:rsidR="003D5B44">
        <w:t>rimelige</w:t>
      </w:r>
      <w:r>
        <w:t xml:space="preserve"> omkostninger jf. </w:t>
      </w:r>
      <w:r w:rsidR="003D5B44">
        <w:t xml:space="preserve">SUPD, f.eks. til </w:t>
      </w:r>
      <w:r w:rsidR="00546184">
        <w:t xml:space="preserve">indsamlingsmateriale, </w:t>
      </w:r>
      <w:r>
        <w:t xml:space="preserve">transport og behandling af affaldet, samt </w:t>
      </w:r>
      <w:r w:rsidR="00546184">
        <w:t>arbejdskraft</w:t>
      </w:r>
      <w:r>
        <w:t xml:space="preserve">, herunder også udgifter til personer ansat i f.eks. nyttejob og </w:t>
      </w:r>
      <w:r w:rsidRPr="00736CEE">
        <w:t>flexjob</w:t>
      </w:r>
      <w:r>
        <w:t>.</w:t>
      </w:r>
    </w:p>
    <w:p w14:paraId="61F4F7BB" w14:textId="77777777" w:rsidR="00EC0DC9" w:rsidRDefault="00EC0DC9" w:rsidP="00EC0DC9">
      <w:pPr>
        <w:pStyle w:val="Opstilling-punkttegn"/>
        <w:numPr>
          <w:ilvl w:val="0"/>
          <w:numId w:val="0"/>
        </w:numPr>
        <w:ind w:left="851"/>
      </w:pPr>
    </w:p>
    <w:p w14:paraId="662CACDD" w14:textId="60DF6763" w:rsidR="00425171" w:rsidRDefault="007E117E" w:rsidP="00EC0DC9">
      <w:pPr>
        <w:pStyle w:val="Opstilling-punkttegn"/>
        <w:numPr>
          <w:ilvl w:val="0"/>
          <w:numId w:val="0"/>
        </w:numPr>
        <w:ind w:left="851"/>
      </w:pPr>
      <w:r>
        <w:t>D</w:t>
      </w:r>
      <w:r w:rsidR="00546184">
        <w:t>e enkelte om</w:t>
      </w:r>
      <w:r>
        <w:t>kostningselementers andel af de</w:t>
      </w:r>
      <w:r w:rsidR="00546184">
        <w:t xml:space="preserve"> samlede omkostning</w:t>
      </w:r>
      <w:r w:rsidR="002A3188">
        <w:t>er</w:t>
      </w:r>
      <w:r w:rsidR="00546184">
        <w:t xml:space="preserve"> skal fremgå tydeligt i rapporten.</w:t>
      </w:r>
    </w:p>
    <w:p w14:paraId="2F3B51F7" w14:textId="77777777" w:rsidR="006248CC" w:rsidRDefault="006248CC" w:rsidP="00EC0DC9">
      <w:pPr>
        <w:pStyle w:val="Opstilling-punkttegn"/>
        <w:numPr>
          <w:ilvl w:val="0"/>
          <w:numId w:val="0"/>
        </w:numPr>
        <w:ind w:left="851"/>
      </w:pPr>
    </w:p>
    <w:p w14:paraId="216F8884" w14:textId="2F4DA2BC" w:rsidR="00425171" w:rsidRDefault="00425171">
      <w:pPr>
        <w:pStyle w:val="Opstilling-punkttegn"/>
        <w:numPr>
          <w:ilvl w:val="0"/>
          <w:numId w:val="0"/>
        </w:numPr>
        <w:ind w:left="851"/>
      </w:pPr>
      <w:r w:rsidRPr="00736CEE">
        <w:t>Undersøgelsens data skal være direkte sammenlignelige med data fra rapporten i 2020, men også gerne tilvejebringe ny og mere detaljeret viden.</w:t>
      </w:r>
    </w:p>
    <w:p w14:paraId="5068CADB" w14:textId="77777777" w:rsidR="00546184" w:rsidRDefault="00546184">
      <w:pPr>
        <w:pStyle w:val="Opstilling-punkttegn"/>
        <w:numPr>
          <w:ilvl w:val="0"/>
          <w:numId w:val="0"/>
        </w:numPr>
        <w:ind w:left="851"/>
      </w:pPr>
    </w:p>
    <w:p w14:paraId="5B4EE526" w14:textId="67C9DBDB" w:rsidR="00797A97" w:rsidRDefault="007E117E" w:rsidP="0036777B">
      <w:pPr>
        <w:ind w:firstLine="851"/>
        <w:rPr>
          <w:b/>
          <w:sz w:val="24"/>
          <w:szCs w:val="24"/>
        </w:rPr>
      </w:pPr>
      <w:r>
        <w:t>A</w:t>
      </w:r>
      <w:r w:rsidR="00546184">
        <w:t>rbejdspakke</w:t>
      </w:r>
      <w:r>
        <w:t>n</w:t>
      </w:r>
      <w:r w:rsidR="00546184">
        <w:t xml:space="preserve"> skal løses gennem tæt samarbejde og i dialog med</w:t>
      </w:r>
      <w:r w:rsidR="00546184">
        <w:rPr>
          <w:rStyle w:val="Kommentarhenvisning"/>
        </w:rPr>
        <w:t xml:space="preserve"> </w:t>
      </w:r>
      <w:r w:rsidR="00546184">
        <w:t>kommuner og relevante myndigheder.</w:t>
      </w:r>
    </w:p>
    <w:p w14:paraId="583B4C60" w14:textId="55FBCABC" w:rsidR="000A71C9" w:rsidRPr="00D97723" w:rsidRDefault="00D97723" w:rsidP="00152ECE">
      <w:pPr>
        <w:rPr>
          <w:b/>
          <w:sz w:val="24"/>
          <w:szCs w:val="24"/>
        </w:rPr>
      </w:pPr>
      <w:r w:rsidRPr="00D97723">
        <w:rPr>
          <w:b/>
          <w:sz w:val="24"/>
          <w:szCs w:val="24"/>
        </w:rPr>
        <w:t xml:space="preserve">1.5 </w:t>
      </w:r>
      <w:r w:rsidR="000A71C9" w:rsidRPr="00D97723">
        <w:rPr>
          <w:b/>
          <w:sz w:val="24"/>
          <w:szCs w:val="24"/>
        </w:rPr>
        <w:t>Leverancer</w:t>
      </w:r>
    </w:p>
    <w:p w14:paraId="75EDF209" w14:textId="3D0BCE9C" w:rsidR="000A71C9" w:rsidRPr="009042F4" w:rsidRDefault="000A71C9" w:rsidP="000A71C9">
      <w:r w:rsidRPr="009042F4">
        <w:t>I løbet af projektperioden skal der indleveres</w:t>
      </w:r>
      <w:r w:rsidR="00B82B23" w:rsidRPr="009042F4">
        <w:t xml:space="preserve"> to </w:t>
      </w:r>
      <w:r w:rsidR="000F235F" w:rsidRPr="009042F4">
        <w:t>opsummeringer</w:t>
      </w:r>
      <w:r w:rsidR="006403A4" w:rsidRPr="009042F4">
        <w:t xml:space="preserve"> af resultaterne fra hver af de to arbejdspakker</w:t>
      </w:r>
      <w:r w:rsidR="000F235F" w:rsidRPr="009042F4">
        <w:t>.</w:t>
      </w:r>
      <w:r w:rsidR="006403A4" w:rsidRPr="009042F4">
        <w:t xml:space="preserve"> </w:t>
      </w:r>
      <w:r w:rsidR="000F235F" w:rsidRPr="009042F4">
        <w:t>Den e</w:t>
      </w:r>
      <w:r w:rsidR="005339F6">
        <w:t>ndelige rapport</w:t>
      </w:r>
      <w:r w:rsidR="000F235F" w:rsidRPr="009042F4">
        <w:t xml:space="preserve"> skal indleveres</w:t>
      </w:r>
      <w:r w:rsidR="006805E9" w:rsidRPr="009042F4">
        <w:t xml:space="preserve"> </w:t>
      </w:r>
      <w:r w:rsidR="005339F6">
        <w:t xml:space="preserve">ved </w:t>
      </w:r>
      <w:r w:rsidR="006805E9" w:rsidRPr="009042F4">
        <w:t>den endelige frist</w:t>
      </w:r>
      <w:r w:rsidR="005339F6">
        <w:t xml:space="preserve"> fredag d. 14. juli 2023 </w:t>
      </w:r>
      <w:r w:rsidR="000F235F" w:rsidRPr="009042F4">
        <w:t>til kommentering</w:t>
      </w:r>
      <w:r w:rsidR="006805E9" w:rsidRPr="009042F4">
        <w:t xml:space="preserve">.  </w:t>
      </w:r>
    </w:p>
    <w:p w14:paraId="446B4A71" w14:textId="7A6F7085" w:rsidR="000A71C9" w:rsidRPr="00881C00" w:rsidRDefault="000A71C9" w:rsidP="000A71C9">
      <w:r>
        <w:t>Den sidste leverance er en afsluttende og sammenfattende rapport indeholdende de fulde udgaver af hver arb</w:t>
      </w:r>
      <w:r w:rsidR="000F235F">
        <w:t>ejdspakke på dansk</w:t>
      </w:r>
      <w:r>
        <w:t xml:space="preserve"> og leveret i Miljøstyrelsens rapportskabelon. Denne endelige leverance skal indeholde en kort sammenfatning af resultaterne fra hver enkel arbejdspakke, samt en kort sammenfatning for det samlede projekt.</w:t>
      </w:r>
    </w:p>
    <w:p w14:paraId="63139E9A" w14:textId="77777777" w:rsidR="000A71C9" w:rsidRPr="00881C00" w:rsidRDefault="000A71C9" w:rsidP="000A71C9">
      <w:pPr>
        <w:pStyle w:val="Overskrift2"/>
        <w:rPr>
          <w:b w:val="0"/>
        </w:rPr>
      </w:pPr>
      <w:r w:rsidRPr="00881C00">
        <w:t>Generelle krav</w:t>
      </w:r>
    </w:p>
    <w:p w14:paraId="02B853B7" w14:textId="77777777" w:rsidR="000A71C9" w:rsidRPr="00881C00" w:rsidRDefault="000A71C9" w:rsidP="000A71C9">
      <w:r w:rsidRPr="00881C00">
        <w:t>Leverandøren skal overholde krav og beskrivelser i denne kravspecifikation.</w:t>
      </w:r>
    </w:p>
    <w:p w14:paraId="747037D1" w14:textId="184D178C" w:rsidR="000A71C9" w:rsidRPr="00AC3DE2" w:rsidRDefault="000A71C9" w:rsidP="00E22E97">
      <w:pPr>
        <w:pStyle w:val="Opstilling-punkttegn"/>
      </w:pPr>
      <w:r w:rsidRPr="006D4855">
        <w:lastRenderedPageBreak/>
        <w:t xml:space="preserve">Tilbudsgivers løsningsbeskrivelse skal bestå af en udførlig tids- og projektplan for </w:t>
      </w:r>
      <w:r w:rsidRPr="00AC3DE2">
        <w:t xml:space="preserve">aktiviteter </w:t>
      </w:r>
      <w:r w:rsidR="00BE2B37" w:rsidRPr="00AC3DE2">
        <w:t xml:space="preserve">inkl. møder </w:t>
      </w:r>
      <w:r w:rsidRPr="00AC3DE2">
        <w:t>og leverancer. Desuden skal beskrivelsen indeholde begrundelser for konkrete valg</w:t>
      </w:r>
      <w:r w:rsidR="00BD2CFF">
        <w:t>, og prioriteringer</w:t>
      </w:r>
      <w:r w:rsidRPr="00AC3DE2">
        <w:t>.</w:t>
      </w:r>
    </w:p>
    <w:p w14:paraId="101A50CE" w14:textId="77777777" w:rsidR="000A71C9" w:rsidRPr="006D4855" w:rsidRDefault="000A71C9" w:rsidP="00EC0DC9">
      <w:pPr>
        <w:pStyle w:val="Opstilling-punkttegn"/>
      </w:pPr>
      <w:r w:rsidRPr="006D4855">
        <w:t>Tilbudsgiver skal levere en plan over tidsforbrug fordelt på deltagere og delopgaver.</w:t>
      </w:r>
    </w:p>
    <w:p w14:paraId="5C9AAD66" w14:textId="3E7E33F1" w:rsidR="000A71C9" w:rsidRDefault="000A71C9">
      <w:pPr>
        <w:pStyle w:val="Opstilling-punkttegn"/>
      </w:pPr>
      <w:r w:rsidRPr="006D4855">
        <w:t>Der skal i løsningsbeskrivelsen være en betalingsplan, som fastsætter bagudr</w:t>
      </w:r>
      <w:r w:rsidR="007934AB">
        <w:t xml:space="preserve">ettet fakturering ved den endelige leverance. Eventuelle ønsker om ratebetaling skal anføres i tilbuddet.  </w:t>
      </w:r>
    </w:p>
    <w:p w14:paraId="23312BF1" w14:textId="2A739D11" w:rsidR="0068692D" w:rsidRPr="006D4855" w:rsidRDefault="0068692D">
      <w:pPr>
        <w:pStyle w:val="Opstilling-punkttegn"/>
      </w:pPr>
      <w:r w:rsidRPr="0068692D">
        <w:t>Tilbudsgiver skal oplyse, hvordan de har t</w:t>
      </w:r>
      <w:r w:rsidR="009C71B6">
        <w:t>ænkt sig at kvalitetssikre</w:t>
      </w:r>
      <w:r w:rsidRPr="0068692D">
        <w:t xml:space="preserve"> opgave</w:t>
      </w:r>
      <w:r w:rsidR="009C71B6">
        <w:t>n</w:t>
      </w:r>
      <w:r w:rsidRPr="0068692D">
        <w:t>.</w:t>
      </w:r>
    </w:p>
    <w:p w14:paraId="34FB1598" w14:textId="77777777" w:rsidR="000A71C9" w:rsidRPr="006D4855" w:rsidRDefault="000A71C9">
      <w:pPr>
        <w:pStyle w:val="Opstilling-punkttegn"/>
      </w:pPr>
      <w:r w:rsidRPr="006D4855">
        <w:t>Leverancen skal inden for den fastsatte tidsramme og budget opfylde Miljøstyrelsens behov bedst muligt.</w:t>
      </w:r>
    </w:p>
    <w:p w14:paraId="1F784582" w14:textId="77777777" w:rsidR="000A71C9" w:rsidRPr="00881C00" w:rsidRDefault="000A71C9" w:rsidP="000A71C9">
      <w:pPr>
        <w:pStyle w:val="Overskrift2"/>
        <w:rPr>
          <w:b w:val="0"/>
        </w:rPr>
      </w:pPr>
      <w:r w:rsidRPr="00881C00">
        <w:t>Krav til kvalitetssikring</w:t>
      </w:r>
    </w:p>
    <w:p w14:paraId="640F452C" w14:textId="7AD6D87B" w:rsidR="000A71C9" w:rsidRPr="00336A45" w:rsidRDefault="000A71C9" w:rsidP="000A71C9">
      <w:pPr>
        <w:spacing w:before="100" w:beforeAutospacing="1" w:after="240"/>
      </w:pPr>
      <w:r w:rsidRPr="00336A45">
        <w:t>Der er tale om et projekt, som skal udføre</w:t>
      </w:r>
      <w:r w:rsidR="0058577E">
        <w:t>s gennem tæt samarbejde mellem L</w:t>
      </w:r>
      <w:r w:rsidRPr="00336A45">
        <w:t>everandør og Miljøstyrelsen. Miljøstyrelsen har ret til løbende at kontrollere leverancens niveau og kvalitet. Materiale der leveres til Miljøstyr</w:t>
      </w:r>
      <w:r w:rsidR="0058577E">
        <w:t>elsen, skal kvalitetssikres af L</w:t>
      </w:r>
      <w:r w:rsidRPr="00336A45">
        <w:t>everandør inden levering til Miljøstyrelsen.</w:t>
      </w:r>
    </w:p>
    <w:p w14:paraId="38DD849F" w14:textId="77777777" w:rsidR="000A71C9" w:rsidRPr="00336A45" w:rsidRDefault="000A71C9" w:rsidP="000A71C9">
      <w:pPr>
        <w:spacing w:before="100" w:beforeAutospacing="1" w:after="240"/>
      </w:pPr>
      <w:r w:rsidRPr="00336A45">
        <w:t>Det er et krav, at alle leverancer i forbindelse med dette projekt gennemgår en kvalificeret kvalitetssikring. Alle faktuelle oplysninger i afrapporteringen skal tydeligt have angivet kildehenvisninger, og det skal desuden tydeligt fremgå hvilke dele af teksten, der er konsulents vurdering og fortolkning, eller som er udtryk for forskellige interessenters holdninger og ønsker.</w:t>
      </w:r>
    </w:p>
    <w:p w14:paraId="2535A739" w14:textId="61032A3C" w:rsidR="000A71C9" w:rsidRPr="00A81359" w:rsidRDefault="003D6DEF" w:rsidP="000A71C9">
      <w:pPr>
        <w:spacing w:before="100" w:beforeAutospacing="1" w:after="240"/>
      </w:pPr>
      <w:r>
        <w:t>T</w:t>
      </w:r>
      <w:r w:rsidR="000A71C9" w:rsidRPr="00336A45">
        <w:t xml:space="preserve">ilbudsgiver </w:t>
      </w:r>
      <w:r>
        <w:t>skal beskrive hvordan deres kvalitetssikring gennemføres</w:t>
      </w:r>
      <w:r w:rsidR="0067364E">
        <w:t xml:space="preserve"> ved at</w:t>
      </w:r>
      <w:r>
        <w:t xml:space="preserve"> inddrage</w:t>
      </w:r>
      <w:r w:rsidR="000A71C9" w:rsidRPr="00336A45">
        <w:t xml:space="preserve"> en kort beskrivelse af den forventede procedure for kvalitetssikring i tilbudsmaterialet.</w:t>
      </w:r>
      <w:r w:rsidR="000A71C9">
        <w:t xml:space="preserve"> </w:t>
      </w:r>
    </w:p>
    <w:p w14:paraId="165CF8EC" w14:textId="77777777" w:rsidR="000A71C9" w:rsidRPr="00881C00" w:rsidRDefault="000A71C9" w:rsidP="000A71C9">
      <w:pPr>
        <w:pStyle w:val="Overskrift1"/>
        <w:jc w:val="both"/>
      </w:pPr>
      <w:r w:rsidRPr="00881C00">
        <w:t>ORGANISERING</w:t>
      </w:r>
      <w:r>
        <w:t xml:space="preserve"> </w:t>
      </w:r>
    </w:p>
    <w:p w14:paraId="07C62697" w14:textId="77777777" w:rsidR="000A71C9" w:rsidRPr="00881C00" w:rsidRDefault="000A71C9" w:rsidP="000A71C9">
      <w:pPr>
        <w:pStyle w:val="Overskrift2"/>
        <w:rPr>
          <w:b w:val="0"/>
        </w:rPr>
      </w:pPr>
      <w:r w:rsidRPr="00881C00">
        <w:t>Organisering og aktørinddragelse</w:t>
      </w:r>
    </w:p>
    <w:p w14:paraId="57C332D0" w14:textId="77777777" w:rsidR="000A71C9" w:rsidRPr="00784421" w:rsidRDefault="000A71C9" w:rsidP="000A71C9">
      <w:r w:rsidRPr="00784421">
        <w:t>Miljøstyrelsen er projektejere og træffer dermed de endelige beslutninger om prioritering vedrørende kvalitet, ressourcer, tid og eventuelle ændringer i opgavens indhold.</w:t>
      </w:r>
    </w:p>
    <w:p w14:paraId="76814C19" w14:textId="535E79A4" w:rsidR="000A71C9" w:rsidRPr="00881C00" w:rsidRDefault="000A71C9" w:rsidP="000A71C9">
      <w:r w:rsidRPr="00784421">
        <w:t>Leverandøren er projektleder og udviser ejerskab og engagement. Projektet kan gennemføres ved brug af underleverandør</w:t>
      </w:r>
      <w:r w:rsidR="00BD2CFF">
        <w:t>. Valget af underleverandør skal godkendes af Miljøstyrelsen</w:t>
      </w:r>
      <w:r w:rsidRPr="00784421">
        <w:t>. Alle beslutninger i forbindelse med projekt</w:t>
      </w:r>
      <w:r>
        <w:t xml:space="preserve">ets opbygning </w:t>
      </w:r>
      <w:r w:rsidRPr="00784421">
        <w:t xml:space="preserve">skal godkendes af Miljøstyrelsen. Miljøstyrelsen har den direkte dialog til </w:t>
      </w:r>
      <w:r w:rsidR="00D34C69">
        <w:t>L</w:t>
      </w:r>
      <w:r w:rsidRPr="00784421">
        <w:t xml:space="preserve">everandøren. Leverandøren </w:t>
      </w:r>
      <w:r w:rsidRPr="00784421">
        <w:lastRenderedPageBreak/>
        <w:t xml:space="preserve">har den </w:t>
      </w:r>
      <w:r>
        <w:t xml:space="preserve">primære og </w:t>
      </w:r>
      <w:r w:rsidRPr="00784421">
        <w:t>direkte kontakt til eventuelle underleverandører, interessenter og andre relevante for projektet.</w:t>
      </w:r>
      <w:r w:rsidR="00BD2CFF">
        <w:t xml:space="preserve"> Ved afvigelser fra tidligere aftalte planer, f.eks. i forhold til tid eller indhold, skal Miljøstyrelsen kontaktes så hurtigt som muligt, og fremlægges alternativer, så Styrelsen kan træffe et oplyst valg om den videre fremdrift. </w:t>
      </w:r>
    </w:p>
    <w:p w14:paraId="5951428F" w14:textId="77777777" w:rsidR="000A71C9" w:rsidRDefault="000A71C9" w:rsidP="000A71C9">
      <w:pPr>
        <w:pStyle w:val="Overskrift2"/>
        <w:rPr>
          <w:b w:val="0"/>
        </w:rPr>
      </w:pPr>
      <w:r w:rsidRPr="00C86CDD">
        <w:t>Afrapportering</w:t>
      </w:r>
      <w:r w:rsidRPr="00881C00">
        <w:t xml:space="preserve"> og kommunikation</w:t>
      </w:r>
    </w:p>
    <w:p w14:paraId="17EC51D6" w14:textId="788C963C" w:rsidR="007479B6" w:rsidRDefault="007479B6" w:rsidP="000A71C9">
      <w:r>
        <w:t>Ved opstartsmødet aftales blandt andet tidsplan og dato for leverancer</w:t>
      </w:r>
      <w:r w:rsidR="00BD2CFF">
        <w:t>, samt struktur for rapporten</w:t>
      </w:r>
      <w:r>
        <w:t>.</w:t>
      </w:r>
    </w:p>
    <w:p w14:paraId="1D733BF2" w14:textId="2333DE85" w:rsidR="000A71C9" w:rsidRPr="00AC3DE2" w:rsidRDefault="000A71C9" w:rsidP="000A71C9">
      <w:r w:rsidRPr="00AC3DE2">
        <w:t xml:space="preserve">Leverandøren skal afrapportere ved levering af </w:t>
      </w:r>
      <w:r w:rsidR="00896FE2" w:rsidRPr="00AC3DE2">
        <w:t>udkast af</w:t>
      </w:r>
      <w:r w:rsidRPr="00AC3DE2">
        <w:t xml:space="preserve"> arbejdspakker i form af en kort skriftlig status til Miljøstyrelsen angående fremdriften af det fulde projekt. Desuden afholdes der</w:t>
      </w:r>
      <w:r w:rsidR="00896FE2" w:rsidRPr="00AC3DE2">
        <w:t>,</w:t>
      </w:r>
      <w:r w:rsidRPr="00AC3DE2">
        <w:t xml:space="preserve"> </w:t>
      </w:r>
      <w:r w:rsidR="00896FE2" w:rsidRPr="00AC3DE2">
        <w:t xml:space="preserve">foruden </w:t>
      </w:r>
      <w:r w:rsidR="00D34C69">
        <w:t>projektmøder mellem L</w:t>
      </w:r>
      <w:r w:rsidRPr="00AC3DE2">
        <w:t>everandøren og Miljøstyrelsen omhandlende status på opgaven og fremgangen</w:t>
      </w:r>
      <w:r w:rsidR="00896FE2" w:rsidRPr="00AC3DE2">
        <w:t>, også uge</w:t>
      </w:r>
      <w:r w:rsidR="00D34C69">
        <w:t>ntlige tilbagemeldinger mellem L</w:t>
      </w:r>
      <w:r w:rsidR="00896FE2" w:rsidRPr="00AC3DE2">
        <w:t>everandøren og Miljøstyrelsen, enten skriftligt eller telefonisk</w:t>
      </w:r>
      <w:r w:rsidRPr="00AC3DE2">
        <w:t>. Der a</w:t>
      </w:r>
      <w:r w:rsidR="00D34C69">
        <w:t>fholdes 2-3 statusmøder mellem L</w:t>
      </w:r>
      <w:r w:rsidRPr="00AC3DE2">
        <w:t>everandøren og Miljøstyrelsen omhandl</w:t>
      </w:r>
      <w:r w:rsidR="00D34C69">
        <w:t>ende status på opgaven. Det er L</w:t>
      </w:r>
      <w:r w:rsidRPr="00AC3DE2">
        <w:t>everandøren, som agerer sekretær ved statusmøder.</w:t>
      </w:r>
    </w:p>
    <w:p w14:paraId="68CF7E24" w14:textId="05C71E6F" w:rsidR="000A71C9" w:rsidRDefault="000A71C9" w:rsidP="000A71C9">
      <w:r w:rsidRPr="00784421">
        <w:t>Møde</w:t>
      </w:r>
      <w:r w:rsidR="00331E96">
        <w:t>r med Miljøstyrelsen skal</w:t>
      </w:r>
      <w:r w:rsidRPr="00784421">
        <w:t xml:space="preserve"> forventes afholdt i Odense eller via </w:t>
      </w:r>
      <w:r w:rsidR="00C730C7">
        <w:t>Teams</w:t>
      </w:r>
      <w:r w:rsidRPr="00784421">
        <w:t>, medmindre der er behov for i</w:t>
      </w:r>
      <w:r w:rsidR="006B6A49">
        <w:t>nddragelse af Miljø</w:t>
      </w:r>
      <w:r w:rsidRPr="00784421">
        <w:t>ministeriets Departement, hvorved møder undtagelsesvis kan afholdes i København.</w:t>
      </w:r>
      <w:r>
        <w:t xml:space="preserve"> Både </w:t>
      </w:r>
      <w:r w:rsidR="006B6A49">
        <w:t>interne regler fastsat hos Miljøstyrelsen</w:t>
      </w:r>
      <w:r>
        <w:t xml:space="preserve"> og Leverandør skal overholdes samt eksterne regler på området. </w:t>
      </w:r>
    </w:p>
    <w:p w14:paraId="7B271300" w14:textId="77777777" w:rsidR="000A71C9" w:rsidRDefault="000A71C9" w:rsidP="000A71C9">
      <w:pPr>
        <w:pStyle w:val="Overskrift2"/>
      </w:pPr>
      <w:r>
        <w:t>Økonomi og betalingsplan</w:t>
      </w:r>
    </w:p>
    <w:p w14:paraId="2510E4BB" w14:textId="27F9608C" w:rsidR="000A71C9" w:rsidRDefault="000A71C9" w:rsidP="000A71C9">
      <w:r w:rsidRPr="00340E64">
        <w:t xml:space="preserve">Der er til opgaven afsat et budget på maksimalt </w:t>
      </w:r>
      <w:r w:rsidR="00886143">
        <w:t>900</w:t>
      </w:r>
      <w:r w:rsidRPr="004A7BE4">
        <w:t xml:space="preserve">.000 </w:t>
      </w:r>
      <w:r w:rsidRPr="00340E64">
        <w:t>kr.</w:t>
      </w:r>
      <w:r>
        <w:t xml:space="preserve"> ekskl. moms.</w:t>
      </w:r>
      <w:r w:rsidRPr="00340E64">
        <w:t xml:space="preserve"> Vederlaget dækker alle omkostninger vedrørende projektets udførelse ekskl. moms, </w:t>
      </w:r>
      <w:r w:rsidRPr="00BE2B37">
        <w:t>hvilket også indbefatter transportomkostninger,</w:t>
      </w:r>
      <w:r w:rsidRPr="00331E96">
        <w:rPr>
          <w:color w:val="FF0000"/>
        </w:rPr>
        <w:t xml:space="preserve"> </w:t>
      </w:r>
      <w:r w:rsidRPr="004E5B56">
        <w:t xml:space="preserve">hotelophold, </w:t>
      </w:r>
      <w:r w:rsidRPr="00BE2B37">
        <w:t>kontorhold og alle øvrige omkostninger forbundet med projektløsningen.</w:t>
      </w:r>
    </w:p>
    <w:p w14:paraId="19C37CFD" w14:textId="55338079" w:rsidR="0053266E" w:rsidRPr="0053266E" w:rsidRDefault="0053266E" w:rsidP="000A71C9">
      <w:r>
        <w:t>Miljøstyrelsen forestiller sig</w:t>
      </w:r>
      <w:r w:rsidRPr="0053266E">
        <w:t xml:space="preserve">, at 35-40% af midlerne til analysen skal gå til den fysiske opgørelse. </w:t>
      </w:r>
    </w:p>
    <w:p w14:paraId="1423ABFC" w14:textId="77777777" w:rsidR="000A71C9" w:rsidRPr="00340E64" w:rsidRDefault="000A71C9" w:rsidP="000A71C9">
      <w:r w:rsidRPr="00340E64">
        <w:t xml:space="preserve">Leverandøren afregnes bagudrettet, når leverancen er godkendt af Miljøstyrelsen. </w:t>
      </w:r>
    </w:p>
    <w:p w14:paraId="3789920D" w14:textId="77777777" w:rsidR="000A71C9" w:rsidRPr="00881C00" w:rsidRDefault="000A71C9" w:rsidP="000A71C9">
      <w:pPr>
        <w:pStyle w:val="Overskrift2"/>
        <w:rPr>
          <w:b w:val="0"/>
        </w:rPr>
      </w:pPr>
      <w:r w:rsidRPr="00881C00">
        <w:t>Tidsplan</w:t>
      </w:r>
    </w:p>
    <w:p w14:paraId="33B4DCB5" w14:textId="77777777" w:rsidR="000A71C9" w:rsidRPr="00340E64" w:rsidRDefault="000A71C9" w:rsidP="000A71C9">
      <w:r w:rsidRPr="00340E64">
        <w:t>Leverandøren forventes at levere en detaljeret tidsplan</w:t>
      </w:r>
      <w:r>
        <w:t xml:space="preserve"> inkl. statusmøder</w:t>
      </w:r>
      <w:r w:rsidRPr="00340E64">
        <w:t>, og leverancerne af arbejdspakkerne skal udføres til de ved kontraktindgåelsen fastsatte leveringstidspunkter. Selve kontrakten udløber først, når sidste rapport er afleveret og godkendt.</w:t>
      </w:r>
    </w:p>
    <w:p w14:paraId="3C83D961" w14:textId="4EC576DC" w:rsidR="000A71C9" w:rsidRPr="003138ED" w:rsidRDefault="000A71C9" w:rsidP="000A71C9">
      <w:r w:rsidRPr="003138ED">
        <w:t xml:space="preserve">Projektplanen skal tage udgangspunkt i, at sidste rapport skal leveres til Miljøstyrelsen senest den </w:t>
      </w:r>
      <w:r w:rsidR="00231ED3">
        <w:t>14</w:t>
      </w:r>
      <w:r w:rsidR="003A6722" w:rsidRPr="003138ED">
        <w:t>. ju</w:t>
      </w:r>
      <w:r w:rsidR="00476FF8" w:rsidRPr="003138ED">
        <w:t>l</w:t>
      </w:r>
      <w:r w:rsidR="003A6722" w:rsidRPr="003138ED">
        <w:t xml:space="preserve">i </w:t>
      </w:r>
      <w:r w:rsidR="00B6339B" w:rsidRPr="003138ED">
        <w:t>2023</w:t>
      </w:r>
      <w:r w:rsidRPr="003138ED">
        <w:t xml:space="preserve"> som færdigt udkast til en rapport, hvor resultaterne er endelig</w:t>
      </w:r>
      <w:r w:rsidR="00F96671" w:rsidRPr="003138ED">
        <w:t>e</w:t>
      </w:r>
      <w:r w:rsidRPr="003138ED">
        <w:t xml:space="preserve">. </w:t>
      </w:r>
    </w:p>
    <w:p w14:paraId="29373EF9" w14:textId="77777777" w:rsidR="000A71C9" w:rsidRPr="00881C00" w:rsidRDefault="000A71C9" w:rsidP="000A71C9">
      <w:pPr>
        <w:pStyle w:val="Overskrift1"/>
        <w:jc w:val="both"/>
      </w:pPr>
      <w:r w:rsidRPr="00881C00">
        <w:lastRenderedPageBreak/>
        <w:t>TILBUDSMATERIALE</w:t>
      </w:r>
    </w:p>
    <w:p w14:paraId="47779D0A" w14:textId="77777777" w:rsidR="000A71C9" w:rsidRPr="00881C00" w:rsidRDefault="000A71C9" w:rsidP="000A71C9">
      <w:pPr>
        <w:pStyle w:val="Overskrift2"/>
        <w:rPr>
          <w:b w:val="0"/>
        </w:rPr>
      </w:pPr>
      <w:r w:rsidRPr="00881C00">
        <w:t>Krav til tilbudsmaterialer</w:t>
      </w:r>
    </w:p>
    <w:p w14:paraId="52D06684" w14:textId="77777777" w:rsidR="000A71C9" w:rsidRPr="009F7B0E" w:rsidRDefault="000A71C9" w:rsidP="000A71C9">
      <w:r w:rsidRPr="009F7B0E">
        <w:t xml:space="preserve">Leverandøren fremsender forslag til beskrivelse af opgaveudførelsen, samt oplysninger om hvilke konsulentkategorier, som varetager delopgaverne i projektet. Dette gøres ved at fremsende CV’er (maks. to A4-sider per person) på de aktuelle konsulenter og en timepris pr. konsulentkategori. Leverandørens samlede tilbud beregnes ud fra et fast antal timer × angivne timepris per konsulentkategori. </w:t>
      </w:r>
    </w:p>
    <w:p w14:paraId="1FF9C6A6" w14:textId="77777777" w:rsidR="000A71C9" w:rsidRPr="00881C00" w:rsidRDefault="000A71C9" w:rsidP="000A71C9">
      <w:r w:rsidRPr="00B942F7">
        <w:t>Tilbuddet skal indeholde beskrivelse af, hvordan tilbudsgiver har tænkt sig at tilgå opgaven for de forskellige leverancer, og en detaljeret projektplan hvori tilbudsgivers bud på løsning af opgaven fremgår.</w:t>
      </w:r>
      <w:r w:rsidRPr="00881C00">
        <w:t xml:space="preserve"> </w:t>
      </w:r>
    </w:p>
    <w:p w14:paraId="4C4688F9" w14:textId="77777777" w:rsidR="000A71C9" w:rsidRPr="00881C00" w:rsidRDefault="000A71C9" w:rsidP="000A71C9">
      <w:pPr>
        <w:pStyle w:val="Overskrift2"/>
        <w:rPr>
          <w:b w:val="0"/>
        </w:rPr>
      </w:pPr>
      <w:r w:rsidRPr="00881C00">
        <w:t>Ordregivers ønsker til faglige kompetencer for det udførende team</w:t>
      </w:r>
    </w:p>
    <w:p w14:paraId="49019AEA" w14:textId="77777777" w:rsidR="000A71C9" w:rsidRPr="00B942F7" w:rsidRDefault="000A71C9" w:rsidP="000A71C9">
      <w:r w:rsidRPr="00B942F7">
        <w:t>Til vurdering af tilbudsgivers faglige kompetencer vægtes det særligt positivt, at tilbudsgivers projektteam har:</w:t>
      </w:r>
    </w:p>
    <w:p w14:paraId="5DA0D068" w14:textId="77777777" w:rsidR="000A71C9" w:rsidRPr="00520E86" w:rsidRDefault="000A71C9" w:rsidP="00E22E97">
      <w:pPr>
        <w:pStyle w:val="Opstilling-punkttegn"/>
      </w:pPr>
      <w:r w:rsidRPr="00520E86">
        <w:t>Dokumenteret erfaring med informationsindhentning fra offentlige myndigheder</w:t>
      </w:r>
    </w:p>
    <w:p w14:paraId="7D6817F8" w14:textId="77777777" w:rsidR="000A71C9" w:rsidRPr="00520E86" w:rsidRDefault="000A71C9" w:rsidP="00EC0DC9">
      <w:pPr>
        <w:pStyle w:val="Opstilling-punkttegn"/>
      </w:pPr>
      <w:r w:rsidRPr="00520E86">
        <w:t>Dokumenteret erfaring med økonomiske analyser</w:t>
      </w:r>
    </w:p>
    <w:p w14:paraId="1D6C7E68" w14:textId="066F9F50" w:rsidR="000A71C9" w:rsidRPr="00520E86" w:rsidRDefault="000A71C9">
      <w:pPr>
        <w:pStyle w:val="Opstilling-punkttegn"/>
      </w:pPr>
      <w:r w:rsidRPr="00520E86">
        <w:t xml:space="preserve">Et godt sammensat team, hvor der er en stor, </w:t>
      </w:r>
      <w:r w:rsidR="004E5B56">
        <w:t>faglig</w:t>
      </w:r>
      <w:r w:rsidRPr="00520E86">
        <w:t xml:space="preserve"> bred</w:t>
      </w:r>
      <w:r>
        <w:t>d</w:t>
      </w:r>
      <w:r w:rsidRPr="00520E86">
        <w:t>e</w:t>
      </w:r>
      <w:r w:rsidR="006263A4">
        <w:t xml:space="preserve">, </w:t>
      </w:r>
      <w:r w:rsidR="006263A4" w:rsidRPr="006263A4">
        <w:t>herunder stærk affaldsfaglig viden.</w:t>
      </w:r>
    </w:p>
    <w:p w14:paraId="663A1241" w14:textId="77777777" w:rsidR="000A71C9" w:rsidRPr="00520E86" w:rsidRDefault="000A71C9">
      <w:pPr>
        <w:pStyle w:val="Opstilling-punkttegn"/>
      </w:pPr>
      <w:r>
        <w:t>Dokumenteret erfaring med</w:t>
      </w:r>
      <w:r w:rsidRPr="00520E86">
        <w:t xml:space="preserve"> området omhandlende henkastet affald og affaldsindsamling. </w:t>
      </w:r>
    </w:p>
    <w:p w14:paraId="5CDB2379" w14:textId="77777777" w:rsidR="000A71C9" w:rsidRPr="00881C00" w:rsidRDefault="000A71C9" w:rsidP="000A71C9">
      <w:pPr>
        <w:pStyle w:val="Overskrift2"/>
        <w:rPr>
          <w:b w:val="0"/>
        </w:rPr>
      </w:pPr>
      <w:r w:rsidRPr="00881C00">
        <w:t>Afleveringsdato og evaluering</w:t>
      </w:r>
    </w:p>
    <w:p w14:paraId="5DECCD52" w14:textId="3EB3B344" w:rsidR="000A71C9" w:rsidRDefault="00F96671" w:rsidP="000A71C9">
      <w:pPr>
        <w:rPr>
          <w:rStyle w:val="Hyperlink"/>
        </w:rPr>
      </w:pPr>
      <w:r>
        <w:t xml:space="preserve">Tilbud fremsendes senest </w:t>
      </w:r>
      <w:r w:rsidR="00D651FA">
        <w:t>torsdag den 20</w:t>
      </w:r>
      <w:r>
        <w:t>. april</w:t>
      </w:r>
      <w:r w:rsidR="008F229C" w:rsidRPr="00F747E4">
        <w:t xml:space="preserve"> 2023</w:t>
      </w:r>
      <w:r w:rsidR="000A71C9" w:rsidRPr="00F747E4">
        <w:t xml:space="preserve"> </w:t>
      </w:r>
      <w:r w:rsidR="000A71C9" w:rsidRPr="00FA0F0E">
        <w:t xml:space="preserve">kl. 10.00 </w:t>
      </w:r>
      <w:r w:rsidR="000A71C9" w:rsidRPr="00B942F7">
        <w:t xml:space="preserve">til følgende mailadresse: </w:t>
      </w:r>
      <w:r w:rsidR="00B57556" w:rsidRPr="00B57556">
        <w:t>nasot</w:t>
      </w:r>
      <w:r w:rsidR="00B57556">
        <w:t>@mst.dk</w:t>
      </w:r>
    </w:p>
    <w:p w14:paraId="608DA000" w14:textId="48A636E1" w:rsidR="000A71C9" w:rsidRDefault="000A71C9" w:rsidP="000A71C9">
      <w:r w:rsidRPr="00B942F7">
        <w:t>Tilbudsgiver skal ved tilbudsfristen aflevere et samlet tilbudsmateriale, der gør Miljøstyrelsen i stand til at gennemskue de enkelte elementer af tilbudsgivers tilbud.</w:t>
      </w:r>
    </w:p>
    <w:p w14:paraId="1CEC8EE9" w14:textId="4EAE9166" w:rsidR="004E5B56" w:rsidRPr="004E5B56" w:rsidRDefault="004E5B56" w:rsidP="000A71C9">
      <w:pPr>
        <w:rPr>
          <w:color w:val="C00000"/>
        </w:rPr>
      </w:pPr>
      <w:r w:rsidRPr="004A7BE4">
        <w:t>Eventuelle spørgsmål skal skrives</w:t>
      </w:r>
      <w:r w:rsidR="006924D2" w:rsidRPr="004A7BE4">
        <w:t xml:space="preserve"> på mail</w:t>
      </w:r>
      <w:r w:rsidRPr="004A7BE4">
        <w:t xml:space="preserve"> til nasot</w:t>
      </w:r>
      <w:r w:rsidR="004A7BE4" w:rsidRPr="004A7BE4">
        <w:t>@mst.dk</w:t>
      </w:r>
      <w:r w:rsidRPr="004A7BE4">
        <w:t xml:space="preserve"> senest </w:t>
      </w:r>
      <w:r w:rsidR="004A7BE4" w:rsidRPr="004A7BE4">
        <w:t>en ug</w:t>
      </w:r>
      <w:r w:rsidR="004A7BE4">
        <w:t>e før fristen for tilbudsfristen.</w:t>
      </w:r>
      <w:r w:rsidR="004A7BE4" w:rsidRPr="004A7BE4">
        <w:t xml:space="preserve"> </w:t>
      </w:r>
      <w:r w:rsidR="004A7BE4">
        <w:t xml:space="preserve">Man vil få svar på fremsatte spørgsmål tre arbejdsdage inden tilbudsfristen. </w:t>
      </w:r>
    </w:p>
    <w:p w14:paraId="343FF857" w14:textId="5D3B115F" w:rsidR="000A71C9" w:rsidRPr="00881C00" w:rsidRDefault="000A71C9" w:rsidP="000A71C9">
      <w:r w:rsidRPr="00B942F7">
        <w:t>De indkom</w:t>
      </w:r>
      <w:r w:rsidR="00D34C69">
        <w:t>ne tilbud evalueres, hvorefter L</w:t>
      </w:r>
      <w:r w:rsidRPr="00B942F7">
        <w:t xml:space="preserve">everandøren med det bedste forhold mellem pris og kvalitet tilbydes opgaven. Her vil der blive lagt vægt på løsningsbeskrivelse, </w:t>
      </w:r>
      <w:r w:rsidR="00AB2E6C">
        <w:t xml:space="preserve">tids- og </w:t>
      </w:r>
      <w:r w:rsidRPr="00B942F7">
        <w:t>projektplan, faglige kvalifikationer, timeforbrug og pris.</w:t>
      </w:r>
    </w:p>
    <w:p w14:paraId="1527015E" w14:textId="77777777" w:rsidR="000A71C9" w:rsidRPr="00881C00" w:rsidRDefault="000A71C9" w:rsidP="000A71C9">
      <w:pPr>
        <w:pStyle w:val="Overskrift2"/>
        <w:rPr>
          <w:b w:val="0"/>
        </w:rPr>
      </w:pPr>
      <w:r w:rsidRPr="00881C00">
        <w:t>Kontakt person</w:t>
      </w:r>
    </w:p>
    <w:p w14:paraId="146C2BDF" w14:textId="77777777" w:rsidR="000A71C9" w:rsidRPr="00784421" w:rsidRDefault="00B57556" w:rsidP="00E22E97">
      <w:pPr>
        <w:pStyle w:val="Opstilling-punkttegn"/>
        <w:numPr>
          <w:ilvl w:val="0"/>
          <w:numId w:val="0"/>
        </w:numPr>
        <w:ind w:left="1304"/>
      </w:pPr>
      <w:r>
        <w:t>Nanna S. Theilgaard</w:t>
      </w:r>
    </w:p>
    <w:p w14:paraId="14DBD0BF" w14:textId="77777777" w:rsidR="000A71C9" w:rsidRDefault="00A27F43" w:rsidP="00EC0DC9">
      <w:pPr>
        <w:pStyle w:val="Opstilling-punkttegn"/>
        <w:numPr>
          <w:ilvl w:val="0"/>
          <w:numId w:val="0"/>
        </w:numPr>
        <w:ind w:left="1304"/>
      </w:pPr>
      <w:hyperlink r:id="rId8" w:history="1">
        <w:r w:rsidR="00B57556">
          <w:rPr>
            <w:rStyle w:val="Hyperlink"/>
          </w:rPr>
          <w:t>nasot@mst.dk</w:t>
        </w:r>
      </w:hyperlink>
    </w:p>
    <w:p w14:paraId="4FE3F4D8" w14:textId="77777777" w:rsidR="000A71C9" w:rsidRPr="00784421" w:rsidRDefault="00B57556" w:rsidP="00EC0DC9">
      <w:pPr>
        <w:pStyle w:val="Opstilling-punkttegn"/>
        <w:numPr>
          <w:ilvl w:val="0"/>
          <w:numId w:val="0"/>
        </w:numPr>
        <w:ind w:left="1304"/>
      </w:pPr>
      <w:r>
        <w:t>Fuldmægtig</w:t>
      </w:r>
    </w:p>
    <w:p w14:paraId="7734EAEA" w14:textId="77777777" w:rsidR="000A71C9" w:rsidRPr="00784421" w:rsidRDefault="000A71C9">
      <w:pPr>
        <w:pStyle w:val="Opstilling-punkttegn"/>
        <w:numPr>
          <w:ilvl w:val="0"/>
          <w:numId w:val="0"/>
        </w:numPr>
        <w:ind w:left="1304"/>
      </w:pPr>
      <w:r w:rsidRPr="00784421">
        <w:t>Miljøstyrelsen</w:t>
      </w:r>
    </w:p>
    <w:p w14:paraId="44251B27" w14:textId="77777777" w:rsidR="000A71C9" w:rsidRPr="00881C00" w:rsidRDefault="000A71C9">
      <w:pPr>
        <w:pStyle w:val="Opstilling-punkttegn"/>
        <w:numPr>
          <w:ilvl w:val="0"/>
          <w:numId w:val="0"/>
        </w:numPr>
        <w:ind w:left="1304"/>
      </w:pPr>
      <w:r w:rsidRPr="00784421">
        <w:t>Tolderlundsvej 5, 5000 Odense C</w:t>
      </w:r>
    </w:p>
    <w:p w14:paraId="5E8F82A7" w14:textId="77777777" w:rsidR="001567FE" w:rsidRDefault="001567FE"/>
    <w:sectPr w:rsidR="001567F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57B86" w14:textId="77777777" w:rsidR="0000714F" w:rsidRDefault="0000714F" w:rsidP="000A71C9">
      <w:pPr>
        <w:spacing w:after="0" w:line="240" w:lineRule="auto"/>
      </w:pPr>
      <w:r>
        <w:separator/>
      </w:r>
    </w:p>
  </w:endnote>
  <w:endnote w:type="continuationSeparator" w:id="0">
    <w:p w14:paraId="0DCEF99E" w14:textId="77777777" w:rsidR="0000714F" w:rsidRDefault="0000714F" w:rsidP="000A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09A99" w14:textId="77777777" w:rsidR="0000714F" w:rsidRDefault="0000714F" w:rsidP="000A71C9">
      <w:pPr>
        <w:spacing w:after="0" w:line="240" w:lineRule="auto"/>
      </w:pPr>
      <w:r>
        <w:separator/>
      </w:r>
    </w:p>
  </w:footnote>
  <w:footnote w:type="continuationSeparator" w:id="0">
    <w:p w14:paraId="518CB563" w14:textId="77777777" w:rsidR="0000714F" w:rsidRDefault="0000714F" w:rsidP="000A71C9">
      <w:pPr>
        <w:spacing w:after="0" w:line="240" w:lineRule="auto"/>
      </w:pPr>
      <w:r>
        <w:continuationSeparator/>
      </w:r>
    </w:p>
  </w:footnote>
  <w:footnote w:id="1">
    <w:p w14:paraId="56320DF2" w14:textId="77777777" w:rsidR="000A71C9" w:rsidRPr="00323F9D" w:rsidRDefault="000A71C9" w:rsidP="000A71C9">
      <w:pPr>
        <w:pStyle w:val="Fodnotetekst"/>
        <w:rPr>
          <w:color w:val="FF0000"/>
        </w:rPr>
      </w:pPr>
      <w:r w:rsidRPr="00507719">
        <w:rPr>
          <w:rStyle w:val="Fodnotehenvisning"/>
        </w:rPr>
        <w:footnoteRef/>
      </w:r>
      <w:r w:rsidRPr="00507719">
        <w:t xml:space="preserve"> </w:t>
      </w:r>
      <w:hyperlink r:id="rId1" w:history="1">
        <w:r w:rsidR="00507719" w:rsidRPr="008A364F">
          <w:rPr>
            <w:rStyle w:val="Hyperlink"/>
            <w:color w:val="auto"/>
            <w:u w:val="none"/>
          </w:rPr>
          <w:t>Europa-Parlamentets og Rådets direktiv (EU) 2019/ af 5. juni 2019 om reduktion af visse plastprodukters miljøpåvirkning</w:t>
        </w:r>
      </w:hyperlink>
    </w:p>
  </w:footnote>
  <w:footnote w:id="2">
    <w:p w14:paraId="594DE1D7" w14:textId="77777777" w:rsidR="00260A5E" w:rsidRPr="00CF68FE" w:rsidRDefault="00260A5E">
      <w:pPr>
        <w:pStyle w:val="Fodnotetekst"/>
      </w:pPr>
      <w:r>
        <w:rPr>
          <w:rStyle w:val="Fodnotehenvisning"/>
        </w:rPr>
        <w:footnoteRef/>
      </w:r>
      <w:r w:rsidRPr="00CF68FE">
        <w:t xml:space="preserve"> </w:t>
      </w:r>
      <w:hyperlink r:id="rId2" w:history="1">
        <w:r w:rsidR="0081555A" w:rsidRPr="0081555A">
          <w:rPr>
            <w:rStyle w:val="Hyperlink"/>
          </w:rPr>
          <w:t>Kortlægning (mst.dk)</w:t>
        </w:r>
      </w:hyperlink>
    </w:p>
  </w:footnote>
  <w:footnote w:id="3">
    <w:p w14:paraId="1BDDE8A6" w14:textId="77777777" w:rsidR="000A71C9" w:rsidRDefault="000A71C9" w:rsidP="000A71C9">
      <w:pPr>
        <w:pStyle w:val="Fodnotetekst"/>
      </w:pPr>
      <w:r>
        <w:rPr>
          <w:rStyle w:val="Fodnotehenvisning"/>
        </w:rPr>
        <w:footnoteRef/>
      </w:r>
      <w:r>
        <w:t xml:space="preserve"> </w:t>
      </w:r>
      <w:r w:rsidRPr="000777A7">
        <w:t>For produkt</w:t>
      </w:r>
      <w:r>
        <w:t>typ</w:t>
      </w:r>
      <w:r w:rsidRPr="000777A7">
        <w:t>er omfattet af direktivet: Cigaretfiltre, fødevarebeholdere, indpakningsposer og folier, drikkevarebeholdere, drikkebægre inkl. låg, letvægtsplastbæreposer, vådservietter, balloner og fiskeredskaber (fiskeredskaber er dog ikke omfattet af oprydningsansvaret</w:t>
      </w:r>
    </w:p>
  </w:footnote>
  <w:footnote w:id="4">
    <w:p w14:paraId="6B37718F" w14:textId="1E916270" w:rsidR="00700AB3" w:rsidRDefault="00700AB3">
      <w:pPr>
        <w:pStyle w:val="Fodnotetekst"/>
      </w:pPr>
      <w:r>
        <w:rPr>
          <w:rStyle w:val="Fodnotehenvisning"/>
        </w:rPr>
        <w:footnoteRef/>
      </w:r>
      <w:r>
        <w:t xml:space="preserve"> </w:t>
      </w:r>
      <w:r w:rsidRPr="00700AB3">
        <w:t>Ved renhold forstås den opgave kommunerne eller andre varetager, som dækker oprydning, indsamling</w:t>
      </w:r>
      <w:r w:rsidR="00071C9F">
        <w:t>, behandling</w:t>
      </w:r>
      <w:r w:rsidRPr="00700AB3">
        <w:t xml:space="preserve"> og håndtering.</w:t>
      </w:r>
    </w:p>
  </w:footnote>
  <w:footnote w:id="5">
    <w:p w14:paraId="0B74CCCE" w14:textId="62F7EFDC" w:rsidR="00AF3D92" w:rsidRDefault="00AF3D92">
      <w:pPr>
        <w:pStyle w:val="Fodnotetekst"/>
      </w:pPr>
      <w:r>
        <w:rPr>
          <w:rStyle w:val="Fodnotehenvisning"/>
        </w:rPr>
        <w:footnoteRef/>
      </w:r>
      <w:r>
        <w:t xml:space="preserve"> </w:t>
      </w:r>
      <w:hyperlink r:id="rId3" w:history="1">
        <w:r w:rsidRPr="00AF3D92">
          <w:rPr>
            <w:rStyle w:val="Hyperlink"/>
          </w:rPr>
          <w:t>Kortlægning (mst.dk)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2BB7"/>
    <w:multiLevelType w:val="multilevel"/>
    <w:tmpl w:val="8954C390"/>
    <w:lvl w:ilvl="0">
      <w:start w:val="1"/>
      <w:numFmt w:val="bullet"/>
      <w:pStyle w:val="Opstilling-punkttegn"/>
      <w:lvlText w:val=""/>
      <w:lvlJc w:val="left"/>
      <w:pPr>
        <w:ind w:left="1758" w:hanging="454"/>
      </w:pPr>
      <w:rPr>
        <w:rFonts w:ascii="Symbol" w:hAnsi="Symbol" w:hint="default"/>
      </w:rPr>
    </w:lvl>
    <w:lvl w:ilvl="1">
      <w:start w:val="1"/>
      <w:numFmt w:val="bullet"/>
      <w:lvlText w:val="o"/>
      <w:lvlJc w:val="left"/>
      <w:pPr>
        <w:ind w:left="2212" w:hanging="454"/>
      </w:pPr>
      <w:rPr>
        <w:rFonts w:ascii="Courier New" w:hAnsi="Courier New" w:cs="Courier New" w:hint="default"/>
      </w:rPr>
    </w:lvl>
    <w:lvl w:ilvl="2">
      <w:start w:val="1"/>
      <w:numFmt w:val="bullet"/>
      <w:lvlText w:val=""/>
      <w:lvlJc w:val="left"/>
      <w:pPr>
        <w:ind w:left="2666" w:hanging="454"/>
      </w:pPr>
      <w:rPr>
        <w:rFonts w:ascii="Symbol" w:hAnsi="Symbol" w:hint="default"/>
      </w:rPr>
    </w:lvl>
    <w:lvl w:ilvl="3">
      <w:start w:val="1"/>
      <w:numFmt w:val="bullet"/>
      <w:lvlText w:val=""/>
      <w:lvlJc w:val="left"/>
      <w:pPr>
        <w:ind w:left="3120" w:hanging="454"/>
      </w:pPr>
      <w:rPr>
        <w:rFonts w:ascii="Symbol" w:hAnsi="Symbol" w:hint="default"/>
      </w:rPr>
    </w:lvl>
    <w:lvl w:ilvl="4">
      <w:start w:val="1"/>
      <w:numFmt w:val="bullet"/>
      <w:lvlText w:val=""/>
      <w:lvlJc w:val="left"/>
      <w:pPr>
        <w:ind w:left="3574" w:hanging="454"/>
      </w:pPr>
      <w:rPr>
        <w:rFonts w:ascii="Symbol" w:hAnsi="Symbol" w:hint="default"/>
      </w:rPr>
    </w:lvl>
    <w:lvl w:ilvl="5">
      <w:start w:val="1"/>
      <w:numFmt w:val="bullet"/>
      <w:lvlText w:val=""/>
      <w:lvlJc w:val="left"/>
      <w:pPr>
        <w:ind w:left="4028" w:hanging="454"/>
      </w:pPr>
      <w:rPr>
        <w:rFonts w:ascii="Symbol" w:hAnsi="Symbol" w:hint="default"/>
      </w:rPr>
    </w:lvl>
    <w:lvl w:ilvl="6">
      <w:start w:val="1"/>
      <w:numFmt w:val="bullet"/>
      <w:lvlText w:val=""/>
      <w:lvlJc w:val="left"/>
      <w:pPr>
        <w:ind w:left="4482" w:hanging="454"/>
      </w:pPr>
      <w:rPr>
        <w:rFonts w:ascii="Symbol" w:hAnsi="Symbol" w:hint="default"/>
      </w:rPr>
    </w:lvl>
    <w:lvl w:ilvl="7">
      <w:start w:val="1"/>
      <w:numFmt w:val="bullet"/>
      <w:lvlText w:val=""/>
      <w:lvlJc w:val="left"/>
      <w:pPr>
        <w:ind w:left="4936" w:hanging="454"/>
      </w:pPr>
      <w:rPr>
        <w:rFonts w:ascii="Symbol" w:hAnsi="Symbol" w:hint="default"/>
      </w:rPr>
    </w:lvl>
    <w:lvl w:ilvl="8">
      <w:start w:val="1"/>
      <w:numFmt w:val="bullet"/>
      <w:lvlText w:val=""/>
      <w:lvlJc w:val="left"/>
      <w:pPr>
        <w:ind w:left="5390" w:hanging="454"/>
      </w:pPr>
      <w:rPr>
        <w:rFonts w:ascii="Symbol" w:hAnsi="Symbol" w:hint="default"/>
      </w:rPr>
    </w:lvl>
  </w:abstractNum>
  <w:abstractNum w:abstractNumId="1" w15:restartNumberingAfterBreak="0">
    <w:nsid w:val="52B10CE7"/>
    <w:multiLevelType w:val="multilevel"/>
    <w:tmpl w:val="1B669AC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rPr>
        <w:b/>
      </w:r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C9"/>
    <w:rsid w:val="00001350"/>
    <w:rsid w:val="00002708"/>
    <w:rsid w:val="0000714F"/>
    <w:rsid w:val="0001168E"/>
    <w:rsid w:val="0003112C"/>
    <w:rsid w:val="000350A4"/>
    <w:rsid w:val="000528C8"/>
    <w:rsid w:val="00056571"/>
    <w:rsid w:val="000642B7"/>
    <w:rsid w:val="00071C9F"/>
    <w:rsid w:val="00091E2A"/>
    <w:rsid w:val="000940DD"/>
    <w:rsid w:val="000968EF"/>
    <w:rsid w:val="000A2797"/>
    <w:rsid w:val="000A547D"/>
    <w:rsid w:val="000A71C9"/>
    <w:rsid w:val="000B6B38"/>
    <w:rsid w:val="000C725E"/>
    <w:rsid w:val="000D4C7B"/>
    <w:rsid w:val="000E0419"/>
    <w:rsid w:val="000E2747"/>
    <w:rsid w:val="000E5F9E"/>
    <w:rsid w:val="000F235F"/>
    <w:rsid w:val="00113735"/>
    <w:rsid w:val="0011664C"/>
    <w:rsid w:val="001223A8"/>
    <w:rsid w:val="0012294C"/>
    <w:rsid w:val="001379AB"/>
    <w:rsid w:val="00137D59"/>
    <w:rsid w:val="001401B0"/>
    <w:rsid w:val="0014170D"/>
    <w:rsid w:val="001426EC"/>
    <w:rsid w:val="00152ECE"/>
    <w:rsid w:val="001567FE"/>
    <w:rsid w:val="0016027A"/>
    <w:rsid w:val="001653BF"/>
    <w:rsid w:val="00165DFE"/>
    <w:rsid w:val="00170AFB"/>
    <w:rsid w:val="001713A5"/>
    <w:rsid w:val="00174C79"/>
    <w:rsid w:val="00184F53"/>
    <w:rsid w:val="001A1EA8"/>
    <w:rsid w:val="001A7320"/>
    <w:rsid w:val="001B4BDC"/>
    <w:rsid w:val="001C04C2"/>
    <w:rsid w:val="001D1EC8"/>
    <w:rsid w:val="001D2E0E"/>
    <w:rsid w:val="001D5AAA"/>
    <w:rsid w:val="00213CAB"/>
    <w:rsid w:val="00231ED3"/>
    <w:rsid w:val="0025265E"/>
    <w:rsid w:val="00260A5E"/>
    <w:rsid w:val="002873B8"/>
    <w:rsid w:val="002A3188"/>
    <w:rsid w:val="002B0D79"/>
    <w:rsid w:val="002C0360"/>
    <w:rsid w:val="002D1AA5"/>
    <w:rsid w:val="002D69CC"/>
    <w:rsid w:val="002E6D32"/>
    <w:rsid w:val="002F4AFC"/>
    <w:rsid w:val="00303616"/>
    <w:rsid w:val="00313515"/>
    <w:rsid w:val="003138ED"/>
    <w:rsid w:val="003223A6"/>
    <w:rsid w:val="00323F9D"/>
    <w:rsid w:val="0032445D"/>
    <w:rsid w:val="00331E96"/>
    <w:rsid w:val="003431F8"/>
    <w:rsid w:val="00354063"/>
    <w:rsid w:val="0036777B"/>
    <w:rsid w:val="00386660"/>
    <w:rsid w:val="003906E0"/>
    <w:rsid w:val="0039154B"/>
    <w:rsid w:val="00391C57"/>
    <w:rsid w:val="003A3D71"/>
    <w:rsid w:val="003A6722"/>
    <w:rsid w:val="003B0278"/>
    <w:rsid w:val="003B2B99"/>
    <w:rsid w:val="003D5B44"/>
    <w:rsid w:val="003D6DEF"/>
    <w:rsid w:val="003F0A03"/>
    <w:rsid w:val="003F6E38"/>
    <w:rsid w:val="003F6F3B"/>
    <w:rsid w:val="0040410B"/>
    <w:rsid w:val="00407569"/>
    <w:rsid w:val="00425171"/>
    <w:rsid w:val="00427090"/>
    <w:rsid w:val="00427FE4"/>
    <w:rsid w:val="00430B94"/>
    <w:rsid w:val="00437236"/>
    <w:rsid w:val="00476FF8"/>
    <w:rsid w:val="00490098"/>
    <w:rsid w:val="00493176"/>
    <w:rsid w:val="004A186A"/>
    <w:rsid w:val="004A7BE4"/>
    <w:rsid w:val="004B50A4"/>
    <w:rsid w:val="004C1B03"/>
    <w:rsid w:val="004E36BE"/>
    <w:rsid w:val="004E5B56"/>
    <w:rsid w:val="004F7F06"/>
    <w:rsid w:val="0050140E"/>
    <w:rsid w:val="00507719"/>
    <w:rsid w:val="00514A4E"/>
    <w:rsid w:val="00523EA9"/>
    <w:rsid w:val="00525817"/>
    <w:rsid w:val="005304D4"/>
    <w:rsid w:val="0053266E"/>
    <w:rsid w:val="0053317B"/>
    <w:rsid w:val="005339F6"/>
    <w:rsid w:val="00546184"/>
    <w:rsid w:val="005730D8"/>
    <w:rsid w:val="005810F2"/>
    <w:rsid w:val="0058577E"/>
    <w:rsid w:val="005973CC"/>
    <w:rsid w:val="005A3F44"/>
    <w:rsid w:val="005A4872"/>
    <w:rsid w:val="005B2989"/>
    <w:rsid w:val="005C757F"/>
    <w:rsid w:val="005C76AF"/>
    <w:rsid w:val="005F0A88"/>
    <w:rsid w:val="005F1ED5"/>
    <w:rsid w:val="00615EBD"/>
    <w:rsid w:val="006248CC"/>
    <w:rsid w:val="006263A4"/>
    <w:rsid w:val="006403A4"/>
    <w:rsid w:val="00645E68"/>
    <w:rsid w:val="006636A0"/>
    <w:rsid w:val="006733C8"/>
    <w:rsid w:val="0067364E"/>
    <w:rsid w:val="00674C02"/>
    <w:rsid w:val="006805E9"/>
    <w:rsid w:val="00682A6B"/>
    <w:rsid w:val="00683FD8"/>
    <w:rsid w:val="0068692D"/>
    <w:rsid w:val="006873E7"/>
    <w:rsid w:val="006924D2"/>
    <w:rsid w:val="00693893"/>
    <w:rsid w:val="006A1546"/>
    <w:rsid w:val="006A7EE9"/>
    <w:rsid w:val="006B1D05"/>
    <w:rsid w:val="006B457B"/>
    <w:rsid w:val="006B6A49"/>
    <w:rsid w:val="006B6EDE"/>
    <w:rsid w:val="006C480A"/>
    <w:rsid w:val="00700AB3"/>
    <w:rsid w:val="0070400C"/>
    <w:rsid w:val="00705A54"/>
    <w:rsid w:val="00706D24"/>
    <w:rsid w:val="00707FD9"/>
    <w:rsid w:val="00712360"/>
    <w:rsid w:val="00735F4E"/>
    <w:rsid w:val="00736CEE"/>
    <w:rsid w:val="007479B6"/>
    <w:rsid w:val="007544F7"/>
    <w:rsid w:val="007615D1"/>
    <w:rsid w:val="00761AD0"/>
    <w:rsid w:val="00762891"/>
    <w:rsid w:val="00764017"/>
    <w:rsid w:val="007934AB"/>
    <w:rsid w:val="00797A97"/>
    <w:rsid w:val="007A6538"/>
    <w:rsid w:val="007B69C1"/>
    <w:rsid w:val="007E117E"/>
    <w:rsid w:val="007E1510"/>
    <w:rsid w:val="007F223C"/>
    <w:rsid w:val="00804383"/>
    <w:rsid w:val="0081555A"/>
    <w:rsid w:val="00880E5F"/>
    <w:rsid w:val="00886143"/>
    <w:rsid w:val="00886CF5"/>
    <w:rsid w:val="00896FE2"/>
    <w:rsid w:val="008A364F"/>
    <w:rsid w:val="008B0511"/>
    <w:rsid w:val="008C497B"/>
    <w:rsid w:val="008E0390"/>
    <w:rsid w:val="008E4579"/>
    <w:rsid w:val="008F229C"/>
    <w:rsid w:val="008F2352"/>
    <w:rsid w:val="008F50B3"/>
    <w:rsid w:val="008F5BEF"/>
    <w:rsid w:val="009042F4"/>
    <w:rsid w:val="00915085"/>
    <w:rsid w:val="00921BC7"/>
    <w:rsid w:val="009410DB"/>
    <w:rsid w:val="00943CC2"/>
    <w:rsid w:val="00946783"/>
    <w:rsid w:val="00951DE8"/>
    <w:rsid w:val="0095274D"/>
    <w:rsid w:val="00985009"/>
    <w:rsid w:val="00985DC2"/>
    <w:rsid w:val="00986430"/>
    <w:rsid w:val="009A1811"/>
    <w:rsid w:val="009B3FCD"/>
    <w:rsid w:val="009C71B6"/>
    <w:rsid w:val="009E3365"/>
    <w:rsid w:val="009F5751"/>
    <w:rsid w:val="00A0025D"/>
    <w:rsid w:val="00A15E39"/>
    <w:rsid w:val="00A23FCF"/>
    <w:rsid w:val="00A27F43"/>
    <w:rsid w:val="00A536A1"/>
    <w:rsid w:val="00A575EE"/>
    <w:rsid w:val="00A612DF"/>
    <w:rsid w:val="00A65858"/>
    <w:rsid w:val="00A9306F"/>
    <w:rsid w:val="00AA6993"/>
    <w:rsid w:val="00AB2E6C"/>
    <w:rsid w:val="00AC3DE2"/>
    <w:rsid w:val="00AC5C7E"/>
    <w:rsid w:val="00AC7763"/>
    <w:rsid w:val="00AE44DD"/>
    <w:rsid w:val="00AF3D92"/>
    <w:rsid w:val="00B10E86"/>
    <w:rsid w:val="00B41499"/>
    <w:rsid w:val="00B57556"/>
    <w:rsid w:val="00B6339B"/>
    <w:rsid w:val="00B64BF6"/>
    <w:rsid w:val="00B8245A"/>
    <w:rsid w:val="00B82B23"/>
    <w:rsid w:val="00B93694"/>
    <w:rsid w:val="00BA5051"/>
    <w:rsid w:val="00BD2CFF"/>
    <w:rsid w:val="00BE1879"/>
    <w:rsid w:val="00BE2B37"/>
    <w:rsid w:val="00BE66DA"/>
    <w:rsid w:val="00BF538D"/>
    <w:rsid w:val="00BF63B1"/>
    <w:rsid w:val="00C13D23"/>
    <w:rsid w:val="00C14C4E"/>
    <w:rsid w:val="00C173CC"/>
    <w:rsid w:val="00C17ABD"/>
    <w:rsid w:val="00C34722"/>
    <w:rsid w:val="00C44909"/>
    <w:rsid w:val="00C730C7"/>
    <w:rsid w:val="00C863A7"/>
    <w:rsid w:val="00C92EE1"/>
    <w:rsid w:val="00C9404F"/>
    <w:rsid w:val="00C95F65"/>
    <w:rsid w:val="00CA1584"/>
    <w:rsid w:val="00CC6312"/>
    <w:rsid w:val="00CC7CA7"/>
    <w:rsid w:val="00CD03B9"/>
    <w:rsid w:val="00CD6590"/>
    <w:rsid w:val="00CF07A6"/>
    <w:rsid w:val="00CF1A07"/>
    <w:rsid w:val="00CF3976"/>
    <w:rsid w:val="00CF3A8E"/>
    <w:rsid w:val="00CF68FE"/>
    <w:rsid w:val="00D103D5"/>
    <w:rsid w:val="00D254AC"/>
    <w:rsid w:val="00D26068"/>
    <w:rsid w:val="00D303FA"/>
    <w:rsid w:val="00D33483"/>
    <w:rsid w:val="00D34C69"/>
    <w:rsid w:val="00D34E3D"/>
    <w:rsid w:val="00D4146B"/>
    <w:rsid w:val="00D45473"/>
    <w:rsid w:val="00D45CC9"/>
    <w:rsid w:val="00D651FA"/>
    <w:rsid w:val="00D75D14"/>
    <w:rsid w:val="00D921CB"/>
    <w:rsid w:val="00D97723"/>
    <w:rsid w:val="00DA5E7B"/>
    <w:rsid w:val="00E2064B"/>
    <w:rsid w:val="00E22E97"/>
    <w:rsid w:val="00E24B3E"/>
    <w:rsid w:val="00E30981"/>
    <w:rsid w:val="00E32968"/>
    <w:rsid w:val="00E550B8"/>
    <w:rsid w:val="00E5698D"/>
    <w:rsid w:val="00E713D8"/>
    <w:rsid w:val="00E73AB1"/>
    <w:rsid w:val="00E80ABC"/>
    <w:rsid w:val="00E913CD"/>
    <w:rsid w:val="00E92217"/>
    <w:rsid w:val="00E93334"/>
    <w:rsid w:val="00EC0DC9"/>
    <w:rsid w:val="00EC2E0B"/>
    <w:rsid w:val="00ED7F53"/>
    <w:rsid w:val="00F0706C"/>
    <w:rsid w:val="00F44DBE"/>
    <w:rsid w:val="00F61909"/>
    <w:rsid w:val="00F641D3"/>
    <w:rsid w:val="00F67A85"/>
    <w:rsid w:val="00F747E4"/>
    <w:rsid w:val="00F920B4"/>
    <w:rsid w:val="00F96671"/>
    <w:rsid w:val="00FA0F0E"/>
    <w:rsid w:val="00FC2A1D"/>
    <w:rsid w:val="00FC68BD"/>
    <w:rsid w:val="00FF5D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CBDF"/>
  <w15:chartTrackingRefBased/>
  <w15:docId w15:val="{C447762D-3849-482A-BFF8-A736F956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1C9"/>
    <w:pPr>
      <w:spacing w:after="200" w:line="276" w:lineRule="auto"/>
      <w:jc w:val="both"/>
    </w:pPr>
    <w:rPr>
      <w:rFonts w:ascii="Garamond" w:hAnsi="Garamond"/>
    </w:rPr>
  </w:style>
  <w:style w:type="paragraph" w:styleId="Overskrift1">
    <w:name w:val="heading 1"/>
    <w:basedOn w:val="Normal"/>
    <w:next w:val="Normal"/>
    <w:link w:val="Overskrift1Tegn"/>
    <w:uiPriority w:val="9"/>
    <w:qFormat/>
    <w:rsid w:val="000A71C9"/>
    <w:pPr>
      <w:keepNext/>
      <w:keepLines/>
      <w:numPr>
        <w:numId w:val="1"/>
      </w:numPr>
      <w:spacing w:before="480" w:after="0"/>
      <w:jc w:val="left"/>
      <w:outlineLvl w:val="0"/>
    </w:pPr>
    <w:rPr>
      <w:rFonts w:eastAsiaTheme="majorEastAsia" w:cstheme="majorBidi"/>
      <w:b/>
      <w:bCs/>
      <w:sz w:val="24"/>
      <w:szCs w:val="28"/>
    </w:rPr>
  </w:style>
  <w:style w:type="paragraph" w:styleId="Overskrift2">
    <w:name w:val="heading 2"/>
    <w:basedOn w:val="Normal"/>
    <w:next w:val="Normal"/>
    <w:link w:val="Overskrift2Tegn"/>
    <w:autoRedefine/>
    <w:uiPriority w:val="9"/>
    <w:unhideWhenUsed/>
    <w:qFormat/>
    <w:rsid w:val="000A71C9"/>
    <w:pPr>
      <w:keepNext/>
      <w:keepLines/>
      <w:numPr>
        <w:ilvl w:val="1"/>
        <w:numId w:val="1"/>
      </w:numPr>
      <w:spacing w:before="200" w:after="0" w:line="360" w:lineRule="auto"/>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qFormat/>
    <w:rsid w:val="000A71C9"/>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unhideWhenUsed/>
    <w:qFormat/>
    <w:rsid w:val="000A71C9"/>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0A71C9"/>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0A71C9"/>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0A71C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0A71C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0A71C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A71C9"/>
    <w:rPr>
      <w:rFonts w:ascii="Garamond" w:eastAsiaTheme="majorEastAsia" w:hAnsi="Garamond" w:cstheme="majorBidi"/>
      <w:b/>
      <w:bCs/>
      <w:sz w:val="24"/>
      <w:szCs w:val="28"/>
    </w:rPr>
  </w:style>
  <w:style w:type="character" w:customStyle="1" w:styleId="Overskrift2Tegn">
    <w:name w:val="Overskrift 2 Tegn"/>
    <w:basedOn w:val="Standardskrifttypeiafsnit"/>
    <w:link w:val="Overskrift2"/>
    <w:uiPriority w:val="9"/>
    <w:rsid w:val="000A71C9"/>
    <w:rPr>
      <w:rFonts w:ascii="Garamond" w:eastAsiaTheme="majorEastAsia" w:hAnsi="Garamond" w:cstheme="majorBidi"/>
      <w:b/>
      <w:bCs/>
      <w:sz w:val="24"/>
      <w:szCs w:val="26"/>
    </w:rPr>
  </w:style>
  <w:style w:type="character" w:customStyle="1" w:styleId="Overskrift3Tegn">
    <w:name w:val="Overskrift 3 Tegn"/>
    <w:basedOn w:val="Standardskrifttypeiafsnit"/>
    <w:link w:val="Overskrift3"/>
    <w:uiPriority w:val="9"/>
    <w:rsid w:val="000A71C9"/>
    <w:rPr>
      <w:rFonts w:asciiTheme="majorHAnsi" w:eastAsiaTheme="majorEastAsia" w:hAnsiTheme="majorHAnsi" w:cstheme="majorBidi"/>
      <w:b/>
      <w:bCs/>
      <w:color w:val="5B9BD5" w:themeColor="accent1"/>
    </w:rPr>
  </w:style>
  <w:style w:type="character" w:customStyle="1" w:styleId="Overskrift4Tegn">
    <w:name w:val="Overskrift 4 Tegn"/>
    <w:basedOn w:val="Standardskrifttypeiafsnit"/>
    <w:link w:val="Overskrift4"/>
    <w:uiPriority w:val="9"/>
    <w:rsid w:val="000A71C9"/>
    <w:rPr>
      <w:rFonts w:asciiTheme="majorHAnsi" w:eastAsiaTheme="majorEastAsia" w:hAnsiTheme="majorHAnsi" w:cstheme="majorBidi"/>
      <w:b/>
      <w:bCs/>
      <w:i/>
      <w:iCs/>
      <w:color w:val="5B9BD5" w:themeColor="accent1"/>
    </w:rPr>
  </w:style>
  <w:style w:type="character" w:customStyle="1" w:styleId="Overskrift5Tegn">
    <w:name w:val="Overskrift 5 Tegn"/>
    <w:basedOn w:val="Standardskrifttypeiafsnit"/>
    <w:link w:val="Overskrift5"/>
    <w:uiPriority w:val="9"/>
    <w:semiHidden/>
    <w:rsid w:val="000A71C9"/>
    <w:rPr>
      <w:rFonts w:asciiTheme="majorHAnsi" w:eastAsiaTheme="majorEastAsia" w:hAnsiTheme="majorHAnsi" w:cstheme="majorBidi"/>
      <w:color w:val="1F4D78" w:themeColor="accent1" w:themeShade="7F"/>
    </w:rPr>
  </w:style>
  <w:style w:type="character" w:customStyle="1" w:styleId="Overskrift6Tegn">
    <w:name w:val="Overskrift 6 Tegn"/>
    <w:basedOn w:val="Standardskrifttypeiafsnit"/>
    <w:link w:val="Overskrift6"/>
    <w:uiPriority w:val="9"/>
    <w:semiHidden/>
    <w:rsid w:val="000A71C9"/>
    <w:rPr>
      <w:rFonts w:asciiTheme="majorHAnsi" w:eastAsiaTheme="majorEastAsia" w:hAnsiTheme="majorHAnsi" w:cstheme="majorBidi"/>
      <w:i/>
      <w:iCs/>
      <w:color w:val="1F4D78" w:themeColor="accent1" w:themeShade="7F"/>
    </w:rPr>
  </w:style>
  <w:style w:type="character" w:customStyle="1" w:styleId="Overskrift7Tegn">
    <w:name w:val="Overskrift 7 Tegn"/>
    <w:basedOn w:val="Standardskrifttypeiafsnit"/>
    <w:link w:val="Overskrift7"/>
    <w:uiPriority w:val="9"/>
    <w:semiHidden/>
    <w:rsid w:val="000A71C9"/>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0A71C9"/>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0A71C9"/>
    <w:rPr>
      <w:rFonts w:asciiTheme="majorHAnsi" w:eastAsiaTheme="majorEastAsia" w:hAnsiTheme="majorHAnsi" w:cstheme="majorBidi"/>
      <w:i/>
      <w:iCs/>
      <w:color w:val="404040" w:themeColor="text1" w:themeTint="BF"/>
      <w:sz w:val="20"/>
      <w:szCs w:val="20"/>
    </w:rPr>
  </w:style>
  <w:style w:type="character" w:styleId="Kommentarhenvisning">
    <w:name w:val="annotation reference"/>
    <w:basedOn w:val="Standardskrifttypeiafsnit"/>
    <w:uiPriority w:val="99"/>
    <w:semiHidden/>
    <w:unhideWhenUsed/>
    <w:rsid w:val="000A71C9"/>
    <w:rPr>
      <w:sz w:val="16"/>
      <w:szCs w:val="16"/>
    </w:rPr>
  </w:style>
  <w:style w:type="paragraph" w:styleId="Opstilling-punkttegn">
    <w:name w:val="List Bullet"/>
    <w:basedOn w:val="Normal"/>
    <w:autoRedefine/>
    <w:uiPriority w:val="2"/>
    <w:qFormat/>
    <w:rsid w:val="00E22E97"/>
    <w:pPr>
      <w:numPr>
        <w:numId w:val="2"/>
      </w:numPr>
      <w:spacing w:after="0"/>
      <w:ind w:left="1305"/>
      <w:contextualSpacing/>
    </w:pPr>
    <w:rPr>
      <w:rFonts w:eastAsia="Times New Roman" w:cs="Times New Roman"/>
      <w:szCs w:val="20"/>
      <w:lang w:eastAsia="da-DK"/>
    </w:rPr>
  </w:style>
  <w:style w:type="character" w:styleId="Hyperlink">
    <w:name w:val="Hyperlink"/>
    <w:basedOn w:val="Standardskrifttypeiafsnit"/>
    <w:uiPriority w:val="99"/>
    <w:rsid w:val="000A71C9"/>
    <w:rPr>
      <w:color w:val="0563C1" w:themeColor="hyperlink"/>
      <w:u w:val="single"/>
    </w:rPr>
  </w:style>
  <w:style w:type="paragraph" w:styleId="Titel">
    <w:name w:val="Title"/>
    <w:basedOn w:val="Normal"/>
    <w:next w:val="Normal"/>
    <w:link w:val="TitelTegn"/>
    <w:uiPriority w:val="10"/>
    <w:qFormat/>
    <w:rsid w:val="000A71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A71C9"/>
    <w:rPr>
      <w:rFonts w:asciiTheme="majorHAnsi" w:eastAsiaTheme="majorEastAsia" w:hAnsiTheme="majorHAnsi" w:cstheme="majorBidi"/>
      <w:spacing w:val="-10"/>
      <w:kern w:val="28"/>
      <w:sz w:val="56"/>
      <w:szCs w:val="56"/>
    </w:rPr>
  </w:style>
  <w:style w:type="paragraph" w:styleId="Fodnotetekst">
    <w:name w:val="footnote text"/>
    <w:basedOn w:val="Normal"/>
    <w:link w:val="FodnotetekstTegn"/>
    <w:uiPriority w:val="99"/>
    <w:semiHidden/>
    <w:unhideWhenUsed/>
    <w:rsid w:val="000A71C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A71C9"/>
    <w:rPr>
      <w:rFonts w:ascii="Garamond" w:hAnsi="Garamond"/>
      <w:sz w:val="20"/>
      <w:szCs w:val="20"/>
    </w:rPr>
  </w:style>
  <w:style w:type="character" w:styleId="Fodnotehenvisning">
    <w:name w:val="footnote reference"/>
    <w:basedOn w:val="Standardskrifttypeiafsnit"/>
    <w:uiPriority w:val="99"/>
    <w:semiHidden/>
    <w:unhideWhenUsed/>
    <w:rsid w:val="000A71C9"/>
    <w:rPr>
      <w:vertAlign w:val="superscript"/>
    </w:rPr>
  </w:style>
  <w:style w:type="character" w:styleId="BesgtLink">
    <w:name w:val="FollowedHyperlink"/>
    <w:basedOn w:val="Standardskrifttypeiafsnit"/>
    <w:uiPriority w:val="99"/>
    <w:semiHidden/>
    <w:unhideWhenUsed/>
    <w:rsid w:val="00E913CD"/>
    <w:rPr>
      <w:color w:val="954F72" w:themeColor="followedHyperlink"/>
      <w:u w:val="single"/>
    </w:rPr>
  </w:style>
  <w:style w:type="paragraph" w:styleId="Kommentartekst">
    <w:name w:val="annotation text"/>
    <w:basedOn w:val="Normal"/>
    <w:link w:val="KommentartekstTegn"/>
    <w:uiPriority w:val="99"/>
    <w:semiHidden/>
    <w:unhideWhenUsed/>
    <w:rsid w:val="009F575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F5751"/>
    <w:rPr>
      <w:rFonts w:ascii="Garamond" w:hAnsi="Garamond"/>
      <w:sz w:val="20"/>
      <w:szCs w:val="20"/>
    </w:rPr>
  </w:style>
  <w:style w:type="paragraph" w:styleId="Kommentaremne">
    <w:name w:val="annotation subject"/>
    <w:basedOn w:val="Kommentartekst"/>
    <w:next w:val="Kommentartekst"/>
    <w:link w:val="KommentaremneTegn"/>
    <w:uiPriority w:val="99"/>
    <w:semiHidden/>
    <w:unhideWhenUsed/>
    <w:rsid w:val="009F5751"/>
    <w:rPr>
      <w:b/>
      <w:bCs/>
    </w:rPr>
  </w:style>
  <w:style w:type="character" w:customStyle="1" w:styleId="KommentaremneTegn">
    <w:name w:val="Kommentaremne Tegn"/>
    <w:basedOn w:val="KommentartekstTegn"/>
    <w:link w:val="Kommentaremne"/>
    <w:uiPriority w:val="99"/>
    <w:semiHidden/>
    <w:rsid w:val="009F5751"/>
    <w:rPr>
      <w:rFonts w:ascii="Garamond" w:hAnsi="Garamond"/>
      <w:b/>
      <w:bCs/>
      <w:sz w:val="20"/>
      <w:szCs w:val="20"/>
    </w:rPr>
  </w:style>
  <w:style w:type="paragraph" w:styleId="Markeringsbobletekst">
    <w:name w:val="Balloon Text"/>
    <w:basedOn w:val="Normal"/>
    <w:link w:val="MarkeringsbobletekstTegn"/>
    <w:uiPriority w:val="99"/>
    <w:semiHidden/>
    <w:unhideWhenUsed/>
    <w:rsid w:val="009F575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F5751"/>
    <w:rPr>
      <w:rFonts w:ascii="Segoe UI" w:hAnsi="Segoe UI" w:cs="Segoe UI"/>
      <w:sz w:val="18"/>
      <w:szCs w:val="18"/>
    </w:rPr>
  </w:style>
  <w:style w:type="paragraph" w:styleId="Listeafsnit">
    <w:name w:val="List Paragraph"/>
    <w:basedOn w:val="Normal"/>
    <w:uiPriority w:val="34"/>
    <w:qFormat/>
    <w:rsid w:val="00D33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ms@mst.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2.mst.dk/Udgiv/publikationer/2020/09/978-87-7038-231-1.pdf" TargetMode="External"/><Relationship Id="rId2" Type="http://schemas.openxmlformats.org/officeDocument/2006/relationships/hyperlink" Target="https://www2.mst.dk/Udgiv/publikationer/2020/09/978-87-7038-231-1.pdf" TargetMode="External"/><Relationship Id="rId1" Type="http://schemas.openxmlformats.org/officeDocument/2006/relationships/hyperlink" Target="https://eur-lex.europa.eu/legal-content/DA/TXT/PDF/?uri=CELEX:32019L0904&amp;from=EN"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B4338-DED2-47DE-A07C-5F1426C5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2054</Words>
  <Characters>14053</Characters>
  <Application>Microsoft Office Word</Application>
  <DocSecurity>0</DocSecurity>
  <Lines>242</Lines>
  <Paragraphs>100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Sonne Theilgaard</dc:creator>
  <cp:keywords/>
  <dc:description/>
  <cp:lastModifiedBy>Julie Uldall Jensen</cp:lastModifiedBy>
  <cp:revision>3</cp:revision>
  <dcterms:created xsi:type="dcterms:W3CDTF">2023-03-27T13:09:00Z</dcterms:created>
  <dcterms:modified xsi:type="dcterms:W3CDTF">2023-03-27T13:30:00Z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